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C1F70">
      <w:pPr>
        <w:pStyle w:val="9"/>
        <w:ind w:left="440"/>
        <w:jc w:val="center"/>
        <w:rPr>
          <w:rFonts w:hint="default" w:cs="宋体"/>
          <w:b/>
          <w:color w:val="000000"/>
          <w:sz w:val="28"/>
          <w:szCs w:val="28"/>
          <w:lang w:val="en-US" w:eastAsia="zh-CN"/>
        </w:rPr>
      </w:pPr>
      <w:r>
        <w:rPr>
          <w:rFonts w:hint="eastAsia" w:ascii="宋体" w:hAnsi="宋体" w:cs="宋体"/>
          <w:b/>
          <w:bCs/>
          <w:i w:val="0"/>
          <w:iCs w:val="0"/>
          <w:caps w:val="0"/>
          <w:color w:val="000000"/>
          <w:spacing w:val="0"/>
          <w:sz w:val="28"/>
          <w:szCs w:val="28"/>
          <w:shd w:val="clear" w:color="auto" w:fill="FFFFFF"/>
          <w:lang w:eastAsia="zh-CN"/>
        </w:rPr>
        <w:t>病历内涵质控升级（大语言模型）</w:t>
      </w:r>
      <w:r>
        <w:rPr>
          <w:rFonts w:hint="eastAsia" w:cs="宋体"/>
          <w:b/>
          <w:color w:val="000000"/>
          <w:sz w:val="28"/>
          <w:szCs w:val="28"/>
          <w:lang w:eastAsia="zh-CN"/>
        </w:rPr>
        <w:t>——</w:t>
      </w:r>
      <w:r>
        <w:rPr>
          <w:rFonts w:hint="eastAsia" w:cs="宋体"/>
          <w:b/>
          <w:color w:val="000000"/>
          <w:sz w:val="28"/>
          <w:szCs w:val="28"/>
          <w:lang w:val="en-US" w:eastAsia="zh-CN"/>
        </w:rPr>
        <w:t>参数调研表</w:t>
      </w:r>
    </w:p>
    <w:p w14:paraId="641D8C98">
      <w:pPr>
        <w:pStyle w:val="9"/>
        <w:numPr>
          <w:ilvl w:val="0"/>
          <w:numId w:val="0"/>
        </w:numPr>
        <w:ind w:left="360" w:leftChars="0" w:hanging="360" w:firstLineChars="0"/>
        <w:jc w:val="center"/>
        <w:rPr>
          <w:rFonts w:hint="eastAsia" w:cs="宋体"/>
          <w:b/>
          <w:color w:val="000000"/>
          <w:sz w:val="28"/>
          <w:szCs w:val="28"/>
          <w:lang w:eastAsia="zh-CN"/>
        </w:rPr>
      </w:pPr>
      <w:r>
        <w:rPr>
          <w:rFonts w:hint="eastAsia" w:cs="宋体"/>
          <w:b/>
          <w:color w:val="000000"/>
          <w:kern w:val="0"/>
          <w:sz w:val="28"/>
          <w:szCs w:val="28"/>
          <w:lang w:val="en-US" w:eastAsia="zh-CN" w:bidi="ar-SA"/>
        </w:rPr>
        <w:t>一</w:t>
      </w:r>
      <w:r>
        <w:rPr>
          <w:rFonts w:hint="default" w:ascii="宋体" w:hAnsi="宋体" w:eastAsia="宋体" w:cs="宋体"/>
          <w:b/>
          <w:color w:val="000000"/>
          <w:kern w:val="0"/>
          <w:sz w:val="28"/>
          <w:szCs w:val="28"/>
          <w:lang w:val="en-US" w:eastAsia="zh-CN" w:bidi="ar-SA"/>
        </w:rPr>
        <w:t>、</w:t>
      </w:r>
      <w:r>
        <w:rPr>
          <w:rFonts w:hint="eastAsia" w:cs="宋体"/>
          <w:b/>
          <w:color w:val="000000"/>
          <w:sz w:val="28"/>
          <w:szCs w:val="28"/>
          <w:lang w:eastAsia="zh-CN"/>
        </w:rPr>
        <w:t>病历内涵质控系统</w:t>
      </w:r>
    </w:p>
    <w:tbl>
      <w:tblPr>
        <w:tblStyle w:val="19"/>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151"/>
        <w:gridCol w:w="4729"/>
        <w:gridCol w:w="1383"/>
        <w:gridCol w:w="1060"/>
      </w:tblGrid>
      <w:tr w14:paraId="01D1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17" w:type="pct"/>
            <w:tcBorders>
              <w:top w:val="single" w:color="auto" w:sz="4" w:space="0"/>
              <w:left w:val="single" w:color="auto" w:sz="4" w:space="0"/>
              <w:bottom w:val="single" w:color="auto" w:sz="4" w:space="0"/>
              <w:right w:val="single" w:color="auto" w:sz="4" w:space="0"/>
            </w:tcBorders>
            <w:vAlign w:val="center"/>
          </w:tcPr>
          <w:p w14:paraId="30B4C2A2">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分系统名称</w:t>
            </w:r>
          </w:p>
        </w:tc>
        <w:tc>
          <w:tcPr>
            <w:tcW w:w="592" w:type="pct"/>
            <w:tcBorders>
              <w:top w:val="single" w:color="auto" w:sz="4" w:space="0"/>
              <w:left w:val="single" w:color="auto" w:sz="4" w:space="0"/>
              <w:bottom w:val="single" w:color="auto" w:sz="4" w:space="0"/>
              <w:right w:val="single" w:color="auto" w:sz="4" w:space="0"/>
            </w:tcBorders>
            <w:vAlign w:val="center"/>
          </w:tcPr>
          <w:p w14:paraId="219B97D8">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系统功能</w:t>
            </w:r>
          </w:p>
        </w:tc>
        <w:tc>
          <w:tcPr>
            <w:tcW w:w="2432" w:type="pct"/>
            <w:tcBorders>
              <w:top w:val="single" w:color="auto" w:sz="4" w:space="0"/>
              <w:left w:val="single" w:color="auto" w:sz="4" w:space="0"/>
              <w:bottom w:val="single" w:color="auto" w:sz="4" w:space="0"/>
              <w:right w:val="single" w:color="auto" w:sz="4" w:space="0"/>
            </w:tcBorders>
            <w:vAlign w:val="center"/>
          </w:tcPr>
          <w:p w14:paraId="691D0EE3">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功能描述及要求</w:t>
            </w:r>
          </w:p>
        </w:tc>
        <w:tc>
          <w:tcPr>
            <w:tcW w:w="711" w:type="pct"/>
            <w:tcBorders>
              <w:top w:val="single" w:color="auto" w:sz="4" w:space="0"/>
              <w:left w:val="single" w:color="auto" w:sz="4" w:space="0"/>
              <w:bottom w:val="single" w:color="auto" w:sz="4" w:space="0"/>
              <w:right w:val="single" w:color="auto" w:sz="4" w:space="0"/>
            </w:tcBorders>
            <w:vAlign w:val="center"/>
          </w:tcPr>
          <w:p w14:paraId="3A3D29EE">
            <w:pPr>
              <w:pStyle w:val="30"/>
              <w:ind w:firstLine="0" w:firstLineChars="0"/>
              <w:jc w:val="center"/>
              <w:rPr>
                <w:rFonts w:hint="default" w:cs="宋体" w:asciiTheme="minorEastAsia" w:hAnsiTheme="minorEastAsia" w:eastAsiaTheme="minorEastAsia"/>
                <w:b/>
                <w:bCs/>
                <w:kern w:val="0"/>
                <w:sz w:val="21"/>
                <w:szCs w:val="21"/>
                <w:lang w:val="en-US" w:eastAsia="zh-CN"/>
              </w:rPr>
            </w:pPr>
            <w:r>
              <w:rPr>
                <w:rFonts w:hint="eastAsia" w:cs="宋体" w:asciiTheme="minorEastAsia" w:hAnsiTheme="minorEastAsia"/>
                <w:b/>
                <w:bCs/>
                <w:kern w:val="0"/>
                <w:sz w:val="21"/>
                <w:szCs w:val="21"/>
                <w:lang w:val="en-US" w:eastAsia="zh-CN"/>
              </w:rPr>
              <w:t>偏离说明</w:t>
            </w:r>
          </w:p>
        </w:tc>
        <w:tc>
          <w:tcPr>
            <w:tcW w:w="545" w:type="pct"/>
            <w:tcBorders>
              <w:top w:val="single" w:color="auto" w:sz="4" w:space="0"/>
              <w:left w:val="single" w:color="auto" w:sz="4" w:space="0"/>
              <w:bottom w:val="single" w:color="auto" w:sz="4" w:space="0"/>
              <w:right w:val="single" w:color="auto" w:sz="4" w:space="0"/>
            </w:tcBorders>
            <w:vAlign w:val="center"/>
          </w:tcPr>
          <w:p w14:paraId="272F6E42">
            <w:pPr>
              <w:pStyle w:val="30"/>
              <w:ind w:firstLine="0" w:firstLineChars="0"/>
              <w:jc w:val="center"/>
              <w:rPr>
                <w:rFonts w:hint="eastAsia" w:cs="宋体" w:asciiTheme="minorEastAsia" w:hAnsiTheme="minorEastAsia" w:eastAsiaTheme="minorEastAsia"/>
                <w:b/>
                <w:bCs/>
                <w:kern w:val="0"/>
                <w:sz w:val="21"/>
                <w:szCs w:val="21"/>
                <w:lang w:val="en-US" w:eastAsia="zh-CN"/>
              </w:rPr>
            </w:pPr>
            <w:r>
              <w:rPr>
                <w:rFonts w:hint="eastAsia" w:cs="宋体" w:asciiTheme="minorEastAsia" w:hAnsiTheme="minorEastAsia"/>
                <w:b/>
                <w:bCs/>
                <w:kern w:val="0"/>
                <w:sz w:val="21"/>
                <w:szCs w:val="21"/>
                <w:lang w:val="en-US" w:eastAsia="zh-CN"/>
              </w:rPr>
              <w:t>备注</w:t>
            </w:r>
          </w:p>
        </w:tc>
      </w:tr>
      <w:tr w14:paraId="23F0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5BD744F5">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1.</w:t>
            </w:r>
            <w:r>
              <w:rPr>
                <w:rFonts w:hint="eastAsia" w:cs="宋体" w:asciiTheme="minorEastAsia" w:hAnsiTheme="minorEastAsia"/>
                <w:b/>
                <w:bCs/>
                <w:kern w:val="0"/>
                <w:sz w:val="21"/>
                <w:szCs w:val="21"/>
              </w:rPr>
              <w:t>门急诊医生端病历质控助手</w:t>
            </w:r>
          </w:p>
        </w:tc>
        <w:tc>
          <w:tcPr>
            <w:tcW w:w="592" w:type="pct"/>
            <w:vAlign w:val="center"/>
          </w:tcPr>
          <w:p w14:paraId="6C7D40F2">
            <w:pPr>
              <w:spacing w:line="400" w:lineRule="exact"/>
              <w:jc w:val="center"/>
              <w:rPr>
                <w:rFonts w:hint="eastAsia" w:ascii="宋体" w:hAnsi="宋体" w:cs="宋体"/>
                <w:kern w:val="0"/>
                <w:sz w:val="21"/>
                <w:szCs w:val="21"/>
              </w:rPr>
            </w:pPr>
            <w:r>
              <w:rPr>
                <w:rFonts w:hint="eastAsia" w:ascii="宋体" w:hAnsi="宋体" w:cs="宋体"/>
                <w:kern w:val="0"/>
                <w:sz w:val="21"/>
                <w:szCs w:val="21"/>
              </w:rPr>
              <w:t>实时提醒</w:t>
            </w:r>
          </w:p>
        </w:tc>
        <w:tc>
          <w:tcPr>
            <w:tcW w:w="2432" w:type="pct"/>
            <w:vAlign w:val="center"/>
          </w:tcPr>
          <w:p w14:paraId="1C316A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▲当医生在门诊电子病历系统编辑病历点击保存，即刻以插件形式提供实时质控缺陷提醒。</w:t>
            </w:r>
          </w:p>
        </w:tc>
        <w:tc>
          <w:tcPr>
            <w:tcW w:w="711" w:type="pct"/>
            <w:vAlign w:val="center"/>
          </w:tcPr>
          <w:p w14:paraId="4F074734">
            <w:pPr>
              <w:spacing w:line="400" w:lineRule="exact"/>
              <w:jc w:val="left"/>
              <w:rPr>
                <w:rFonts w:hint="eastAsia" w:ascii="宋体" w:hAnsi="宋体" w:cs="宋体"/>
                <w:kern w:val="0"/>
                <w:sz w:val="21"/>
                <w:szCs w:val="21"/>
              </w:rPr>
            </w:pPr>
          </w:p>
        </w:tc>
        <w:tc>
          <w:tcPr>
            <w:tcW w:w="545" w:type="pct"/>
            <w:vAlign w:val="center"/>
          </w:tcPr>
          <w:p w14:paraId="50CCC7E1">
            <w:pPr>
              <w:spacing w:line="400" w:lineRule="exact"/>
              <w:jc w:val="left"/>
              <w:rPr>
                <w:rFonts w:hint="eastAsia" w:ascii="宋体" w:hAnsi="宋体" w:cs="宋体"/>
                <w:kern w:val="0"/>
                <w:sz w:val="21"/>
                <w:szCs w:val="21"/>
              </w:rPr>
            </w:pPr>
          </w:p>
        </w:tc>
      </w:tr>
      <w:tr w14:paraId="2E0C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4F5C905">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642D7FA2">
            <w:pPr>
              <w:spacing w:line="400" w:lineRule="exact"/>
              <w:jc w:val="center"/>
              <w:rPr>
                <w:rFonts w:hint="eastAsia" w:ascii="宋体" w:hAnsi="宋体" w:cs="宋体"/>
                <w:kern w:val="0"/>
                <w:sz w:val="21"/>
                <w:szCs w:val="21"/>
              </w:rPr>
            </w:pPr>
            <w:r>
              <w:rPr>
                <w:rFonts w:hint="eastAsia" w:ascii="宋体" w:hAnsi="宋体" w:cs="宋体"/>
                <w:kern w:val="0"/>
                <w:sz w:val="21"/>
                <w:szCs w:val="21"/>
              </w:rPr>
              <w:t>病历评分提醒</w:t>
            </w:r>
          </w:p>
        </w:tc>
        <w:tc>
          <w:tcPr>
            <w:tcW w:w="2432" w:type="pct"/>
            <w:vAlign w:val="center"/>
          </w:tcPr>
          <w:p w14:paraId="40865A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可以根据配置的评分表展示门诊病历分数与等级，支持点击分数查看详细的评分表。</w:t>
            </w:r>
          </w:p>
        </w:tc>
        <w:tc>
          <w:tcPr>
            <w:tcW w:w="711" w:type="pct"/>
            <w:vAlign w:val="center"/>
          </w:tcPr>
          <w:p w14:paraId="3FFB7F32">
            <w:pPr>
              <w:spacing w:line="400" w:lineRule="exact"/>
              <w:jc w:val="left"/>
              <w:rPr>
                <w:rFonts w:hint="eastAsia" w:ascii="宋体" w:hAnsi="宋体" w:cs="宋体"/>
                <w:kern w:val="0"/>
                <w:sz w:val="21"/>
                <w:szCs w:val="21"/>
              </w:rPr>
            </w:pPr>
          </w:p>
        </w:tc>
        <w:tc>
          <w:tcPr>
            <w:tcW w:w="545" w:type="pct"/>
            <w:vAlign w:val="center"/>
          </w:tcPr>
          <w:p w14:paraId="756ACA31">
            <w:pPr>
              <w:spacing w:line="400" w:lineRule="exact"/>
              <w:jc w:val="left"/>
              <w:rPr>
                <w:rFonts w:hint="eastAsia" w:ascii="宋体" w:hAnsi="宋体" w:cs="宋体"/>
                <w:kern w:val="0"/>
                <w:sz w:val="21"/>
                <w:szCs w:val="21"/>
              </w:rPr>
            </w:pPr>
          </w:p>
        </w:tc>
      </w:tr>
      <w:tr w14:paraId="05C1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3E12E0F0">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754C233D">
            <w:pPr>
              <w:spacing w:line="400" w:lineRule="exact"/>
              <w:jc w:val="center"/>
              <w:rPr>
                <w:rFonts w:hint="eastAsia" w:ascii="宋体" w:hAnsi="宋体" w:cs="宋体"/>
                <w:kern w:val="0"/>
                <w:sz w:val="21"/>
                <w:szCs w:val="21"/>
              </w:rPr>
            </w:pPr>
            <w:r>
              <w:rPr>
                <w:rFonts w:hint="eastAsia" w:ascii="宋体" w:hAnsi="宋体" w:cs="宋体"/>
                <w:kern w:val="0"/>
                <w:sz w:val="21"/>
                <w:szCs w:val="21"/>
              </w:rPr>
              <w:t>质控缺陷提醒</w:t>
            </w:r>
          </w:p>
        </w:tc>
        <w:tc>
          <w:tcPr>
            <w:tcW w:w="2432" w:type="pct"/>
            <w:vAlign w:val="center"/>
          </w:tcPr>
          <w:p w14:paraId="04F0C3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1、支持实时展示质控缺陷问题，包括缺陷问题质控点名称、质控类型（机器</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/人工）、备注、扣分；</w:t>
            </w:r>
          </w:p>
          <w:p w14:paraId="23761A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2、可对系统质控情况及人工质控的批注进行申诉。</w:t>
            </w:r>
          </w:p>
          <w:p w14:paraId="04E8C3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3、可根据不同质控点等级展示不同提示图标</w:t>
            </w:r>
          </w:p>
        </w:tc>
        <w:tc>
          <w:tcPr>
            <w:tcW w:w="711" w:type="pct"/>
            <w:vAlign w:val="center"/>
          </w:tcPr>
          <w:p w14:paraId="65F4E009">
            <w:pPr>
              <w:spacing w:line="400" w:lineRule="exact"/>
              <w:jc w:val="left"/>
              <w:rPr>
                <w:rFonts w:hint="eastAsia" w:ascii="宋体" w:hAnsi="宋体" w:cs="宋体"/>
                <w:kern w:val="0"/>
                <w:sz w:val="21"/>
                <w:szCs w:val="21"/>
              </w:rPr>
            </w:pPr>
          </w:p>
        </w:tc>
        <w:tc>
          <w:tcPr>
            <w:tcW w:w="545" w:type="pct"/>
            <w:vAlign w:val="center"/>
          </w:tcPr>
          <w:p w14:paraId="44A4F8B1">
            <w:pPr>
              <w:spacing w:line="400" w:lineRule="exact"/>
              <w:jc w:val="left"/>
              <w:rPr>
                <w:rFonts w:hint="eastAsia" w:ascii="宋体" w:hAnsi="宋体" w:cs="宋体"/>
                <w:kern w:val="0"/>
                <w:sz w:val="21"/>
                <w:szCs w:val="21"/>
              </w:rPr>
            </w:pPr>
          </w:p>
        </w:tc>
      </w:tr>
      <w:tr w14:paraId="60CE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7FC1061A">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2.</w:t>
            </w:r>
            <w:r>
              <w:rPr>
                <w:rFonts w:hint="eastAsia" w:cs="宋体" w:asciiTheme="minorEastAsia" w:hAnsiTheme="minorEastAsia"/>
                <w:b/>
                <w:bCs/>
                <w:kern w:val="0"/>
                <w:sz w:val="21"/>
                <w:szCs w:val="21"/>
              </w:rPr>
              <w:t>门急诊病历审核平台</w:t>
            </w:r>
          </w:p>
        </w:tc>
        <w:tc>
          <w:tcPr>
            <w:tcW w:w="592" w:type="pct"/>
            <w:vAlign w:val="center"/>
          </w:tcPr>
          <w:p w14:paraId="2B141440">
            <w:pPr>
              <w:spacing w:line="400" w:lineRule="exact"/>
              <w:jc w:val="center"/>
              <w:rPr>
                <w:rFonts w:hint="eastAsia" w:ascii="宋体" w:hAnsi="宋体" w:cs="宋体"/>
                <w:kern w:val="0"/>
                <w:sz w:val="21"/>
                <w:szCs w:val="21"/>
              </w:rPr>
            </w:pPr>
            <w:r>
              <w:rPr>
                <w:rFonts w:hint="eastAsia" w:ascii="宋体" w:hAnsi="宋体" w:cs="宋体"/>
                <w:kern w:val="0"/>
                <w:sz w:val="21"/>
                <w:szCs w:val="21"/>
              </w:rPr>
              <w:t>病历查询</w:t>
            </w:r>
          </w:p>
        </w:tc>
        <w:tc>
          <w:tcPr>
            <w:tcW w:w="2432" w:type="pct"/>
            <w:vAlign w:val="center"/>
          </w:tcPr>
          <w:p w14:paraId="3C5998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1、条件查询：支持按日期、科室、医生、病历等级、病历得分、患者类型、单项否决等条件查询病历列表；</w:t>
            </w:r>
          </w:p>
          <w:p w14:paraId="5429B7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2、精准查询：支持按患者姓名、就诊号等对病历进行精准搜索；</w:t>
            </w:r>
          </w:p>
          <w:p w14:paraId="5F6639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3、病历详情查看：支持查看病历详情，可按文书列表、评分表维度重点查看病历质控详情。</w:t>
            </w:r>
          </w:p>
        </w:tc>
        <w:tc>
          <w:tcPr>
            <w:tcW w:w="711" w:type="pct"/>
            <w:vAlign w:val="center"/>
          </w:tcPr>
          <w:p w14:paraId="12076188">
            <w:pPr>
              <w:spacing w:line="400" w:lineRule="exact"/>
              <w:jc w:val="left"/>
              <w:rPr>
                <w:rFonts w:hint="eastAsia" w:ascii="宋体" w:hAnsi="宋体" w:cs="宋体"/>
                <w:kern w:val="0"/>
                <w:sz w:val="21"/>
                <w:szCs w:val="21"/>
              </w:rPr>
            </w:pPr>
          </w:p>
        </w:tc>
        <w:tc>
          <w:tcPr>
            <w:tcW w:w="545" w:type="pct"/>
            <w:vAlign w:val="center"/>
          </w:tcPr>
          <w:p w14:paraId="360D75C8">
            <w:pPr>
              <w:spacing w:line="400" w:lineRule="exact"/>
              <w:jc w:val="left"/>
              <w:rPr>
                <w:rFonts w:hint="eastAsia" w:ascii="宋体" w:hAnsi="宋体" w:cs="宋体"/>
                <w:kern w:val="0"/>
                <w:sz w:val="21"/>
                <w:szCs w:val="21"/>
              </w:rPr>
            </w:pPr>
          </w:p>
        </w:tc>
      </w:tr>
      <w:tr w14:paraId="5A11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806FC4E">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4F0A17AC">
            <w:pPr>
              <w:spacing w:line="400" w:lineRule="exact"/>
              <w:jc w:val="center"/>
              <w:rPr>
                <w:rFonts w:hint="eastAsia" w:ascii="宋体" w:hAnsi="宋体" w:cs="宋体"/>
                <w:kern w:val="0"/>
                <w:sz w:val="21"/>
                <w:szCs w:val="21"/>
              </w:rPr>
            </w:pPr>
            <w:r>
              <w:rPr>
                <w:rFonts w:hint="eastAsia" w:ascii="宋体" w:hAnsi="宋体" w:cs="宋体"/>
                <w:kern w:val="0"/>
                <w:sz w:val="21"/>
                <w:szCs w:val="21"/>
              </w:rPr>
              <w:t>病历及诊疗资料浏览</w:t>
            </w:r>
          </w:p>
        </w:tc>
        <w:tc>
          <w:tcPr>
            <w:tcW w:w="2432" w:type="pct"/>
            <w:vAlign w:val="center"/>
          </w:tcPr>
          <w:p w14:paraId="513B0B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▲病历及诊疗资料浏览，具体内容如下：</w:t>
            </w:r>
          </w:p>
          <w:p w14:paraId="613275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1、病历文书：提供病历文书浏览和内容基本项目缺陷检查功能。</w:t>
            </w:r>
          </w:p>
          <w:p w14:paraId="67C016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2、医嘱/处方内容：提供医嘱/处方内容浏览功能，应至少包括：西药、成药、中药等，并展示给药途径和给药剂量等信息。</w:t>
            </w:r>
          </w:p>
          <w:p w14:paraId="4F2D57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3、检查/检验：提供检查/检验结果浏览功能，重点标记检验异常项目。</w:t>
            </w:r>
          </w:p>
          <w:p w14:paraId="198EC2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4、诊断信息：提供患者的诊断信息查询。</w:t>
            </w:r>
          </w:p>
        </w:tc>
        <w:tc>
          <w:tcPr>
            <w:tcW w:w="711" w:type="pct"/>
            <w:vAlign w:val="center"/>
          </w:tcPr>
          <w:p w14:paraId="55490B55">
            <w:pPr>
              <w:spacing w:line="400" w:lineRule="exact"/>
              <w:jc w:val="left"/>
              <w:rPr>
                <w:rFonts w:hint="eastAsia" w:ascii="宋体" w:hAnsi="宋体" w:cs="宋体"/>
                <w:kern w:val="0"/>
                <w:sz w:val="21"/>
                <w:szCs w:val="21"/>
              </w:rPr>
            </w:pPr>
          </w:p>
        </w:tc>
        <w:tc>
          <w:tcPr>
            <w:tcW w:w="545" w:type="pct"/>
            <w:vAlign w:val="center"/>
          </w:tcPr>
          <w:p w14:paraId="14FFADAB">
            <w:pPr>
              <w:spacing w:line="400" w:lineRule="exact"/>
              <w:jc w:val="left"/>
              <w:rPr>
                <w:rFonts w:hint="eastAsia" w:ascii="宋体" w:hAnsi="宋体" w:cs="宋体"/>
                <w:kern w:val="0"/>
                <w:sz w:val="21"/>
                <w:szCs w:val="21"/>
              </w:rPr>
            </w:pPr>
          </w:p>
        </w:tc>
      </w:tr>
      <w:tr w14:paraId="0C3A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B556490">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Merge w:val="restart"/>
            <w:vAlign w:val="center"/>
          </w:tcPr>
          <w:p w14:paraId="35FFA2AF">
            <w:pPr>
              <w:spacing w:line="400" w:lineRule="exact"/>
              <w:jc w:val="center"/>
              <w:rPr>
                <w:rFonts w:hint="eastAsia" w:ascii="宋体" w:hAnsi="宋体" w:cs="宋体"/>
                <w:kern w:val="0"/>
                <w:sz w:val="21"/>
                <w:szCs w:val="21"/>
              </w:rPr>
            </w:pPr>
            <w:r>
              <w:rPr>
                <w:rFonts w:hint="eastAsia" w:ascii="宋体" w:hAnsi="宋体" w:cs="宋体"/>
                <w:kern w:val="0"/>
                <w:sz w:val="21"/>
                <w:szCs w:val="21"/>
              </w:rPr>
              <w:t>人工审核</w:t>
            </w:r>
          </w:p>
        </w:tc>
        <w:tc>
          <w:tcPr>
            <w:tcW w:w="2432" w:type="pct"/>
            <w:vAlign w:val="center"/>
          </w:tcPr>
          <w:p w14:paraId="2B10DA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1、质控缺陷总览：系统支持门诊管理端查看病历AI审核结果，包括：病历详情、病历质控问题数量分布、质控结果（问题缺陷、备注、质控类型、反馈、状态、操作）等维度进行结果展示，并支持二次人工审核。</w:t>
            </w:r>
          </w:p>
        </w:tc>
        <w:tc>
          <w:tcPr>
            <w:tcW w:w="711" w:type="pct"/>
            <w:vAlign w:val="center"/>
          </w:tcPr>
          <w:p w14:paraId="3C9F401A">
            <w:pPr>
              <w:spacing w:line="400" w:lineRule="exact"/>
              <w:jc w:val="left"/>
              <w:rPr>
                <w:rFonts w:hint="eastAsia" w:ascii="宋体" w:hAnsi="宋体" w:cs="宋体"/>
                <w:kern w:val="0"/>
                <w:sz w:val="21"/>
                <w:szCs w:val="21"/>
              </w:rPr>
            </w:pPr>
          </w:p>
        </w:tc>
        <w:tc>
          <w:tcPr>
            <w:tcW w:w="545" w:type="pct"/>
            <w:vAlign w:val="center"/>
          </w:tcPr>
          <w:p w14:paraId="6DE48EA9">
            <w:pPr>
              <w:spacing w:line="400" w:lineRule="exact"/>
              <w:jc w:val="left"/>
              <w:rPr>
                <w:rFonts w:hint="eastAsia" w:ascii="宋体" w:hAnsi="宋体" w:cs="宋体"/>
                <w:kern w:val="0"/>
                <w:sz w:val="21"/>
                <w:szCs w:val="21"/>
              </w:rPr>
            </w:pPr>
          </w:p>
        </w:tc>
      </w:tr>
      <w:tr w14:paraId="1AF7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4CBE934">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Merge w:val="continue"/>
            <w:vAlign w:val="center"/>
          </w:tcPr>
          <w:p w14:paraId="3DBE2A8F">
            <w:pPr>
              <w:spacing w:line="400" w:lineRule="exact"/>
              <w:jc w:val="left"/>
              <w:rPr>
                <w:rFonts w:hint="eastAsia" w:ascii="宋体" w:hAnsi="宋体" w:cs="宋体"/>
                <w:kern w:val="0"/>
                <w:sz w:val="21"/>
                <w:szCs w:val="21"/>
              </w:rPr>
            </w:pPr>
          </w:p>
        </w:tc>
        <w:tc>
          <w:tcPr>
            <w:tcW w:w="2432" w:type="pct"/>
            <w:vAlign w:val="center"/>
          </w:tcPr>
          <w:p w14:paraId="437392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2、病历及诊疗资料360浏览：支持在审核过程中随时浏览患者本次就诊的360维度信息，应包括：患者基本信息、</w:t>
            </w:r>
            <w:bookmarkStart w:id="2" w:name="_GoBack"/>
            <w:bookmarkEnd w:id="2"/>
            <w:r>
              <w:rPr>
                <w:rFonts w:hint="eastAsia" w:asciiTheme="minorEastAsia" w:hAnsiTheme="minorEastAsia" w:eastAsiaTheme="minorEastAsia" w:cstheme="minorEastAsia"/>
                <w:sz w:val="21"/>
                <w:szCs w:val="21"/>
              </w:rPr>
              <w:t>门诊病历、医嘱/处方、检验报告、检查报告、诊断记录等相关信息。</w:t>
            </w:r>
          </w:p>
        </w:tc>
        <w:tc>
          <w:tcPr>
            <w:tcW w:w="711" w:type="pct"/>
            <w:vAlign w:val="center"/>
          </w:tcPr>
          <w:p w14:paraId="5AFC5269">
            <w:pPr>
              <w:spacing w:line="400" w:lineRule="exact"/>
              <w:jc w:val="left"/>
              <w:rPr>
                <w:rFonts w:hint="eastAsia" w:ascii="宋体" w:hAnsi="宋体" w:cs="宋体"/>
                <w:kern w:val="0"/>
                <w:sz w:val="21"/>
                <w:szCs w:val="21"/>
              </w:rPr>
            </w:pPr>
          </w:p>
        </w:tc>
        <w:tc>
          <w:tcPr>
            <w:tcW w:w="545" w:type="pct"/>
            <w:vAlign w:val="center"/>
          </w:tcPr>
          <w:p w14:paraId="1B910EFC">
            <w:pPr>
              <w:spacing w:line="400" w:lineRule="exact"/>
              <w:jc w:val="left"/>
              <w:rPr>
                <w:rFonts w:hint="eastAsia" w:ascii="宋体" w:hAnsi="宋体" w:cs="宋体"/>
                <w:kern w:val="0"/>
                <w:sz w:val="21"/>
                <w:szCs w:val="21"/>
              </w:rPr>
            </w:pPr>
          </w:p>
        </w:tc>
      </w:tr>
      <w:tr w14:paraId="0E2A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619D6FE6">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Merge w:val="continue"/>
            <w:vAlign w:val="center"/>
          </w:tcPr>
          <w:p w14:paraId="6FDAC3DC">
            <w:pPr>
              <w:spacing w:line="400" w:lineRule="exact"/>
              <w:jc w:val="left"/>
              <w:rPr>
                <w:rFonts w:hint="eastAsia" w:ascii="宋体" w:hAnsi="宋体" w:cs="宋体"/>
                <w:kern w:val="0"/>
                <w:sz w:val="21"/>
                <w:szCs w:val="21"/>
              </w:rPr>
            </w:pPr>
          </w:p>
        </w:tc>
        <w:tc>
          <w:tcPr>
            <w:tcW w:w="2432" w:type="pct"/>
            <w:vAlign w:val="center"/>
          </w:tcPr>
          <w:p w14:paraId="3698D2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3、缺陷定位：系统可展示出选中病历文书的所有缺陷详情，支持点击缺陷条目后，跳转至病历文书的原文位置，并且以不同背景颜色提示。</w:t>
            </w:r>
          </w:p>
        </w:tc>
        <w:tc>
          <w:tcPr>
            <w:tcW w:w="711" w:type="pct"/>
            <w:vAlign w:val="center"/>
          </w:tcPr>
          <w:p w14:paraId="5091A872">
            <w:pPr>
              <w:spacing w:line="400" w:lineRule="exact"/>
              <w:jc w:val="left"/>
              <w:rPr>
                <w:rFonts w:hint="eastAsia" w:ascii="宋体" w:hAnsi="宋体" w:cs="宋体"/>
                <w:kern w:val="0"/>
                <w:sz w:val="21"/>
                <w:szCs w:val="21"/>
              </w:rPr>
            </w:pPr>
          </w:p>
        </w:tc>
        <w:tc>
          <w:tcPr>
            <w:tcW w:w="545" w:type="pct"/>
            <w:vAlign w:val="center"/>
          </w:tcPr>
          <w:p w14:paraId="102E26C4">
            <w:pPr>
              <w:spacing w:line="400" w:lineRule="exact"/>
              <w:jc w:val="left"/>
              <w:rPr>
                <w:rFonts w:hint="eastAsia" w:ascii="宋体" w:hAnsi="宋体" w:cs="宋体"/>
                <w:kern w:val="0"/>
                <w:sz w:val="21"/>
                <w:szCs w:val="21"/>
              </w:rPr>
            </w:pPr>
          </w:p>
        </w:tc>
      </w:tr>
      <w:tr w14:paraId="24F6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A59AE79">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Merge w:val="continue"/>
            <w:vAlign w:val="center"/>
          </w:tcPr>
          <w:p w14:paraId="5D8752EA">
            <w:pPr>
              <w:spacing w:line="400" w:lineRule="exact"/>
              <w:jc w:val="left"/>
              <w:rPr>
                <w:rFonts w:hint="eastAsia" w:ascii="宋体" w:hAnsi="宋体" w:cs="宋体"/>
                <w:kern w:val="0"/>
                <w:sz w:val="21"/>
                <w:szCs w:val="21"/>
              </w:rPr>
            </w:pPr>
          </w:p>
        </w:tc>
        <w:tc>
          <w:tcPr>
            <w:tcW w:w="2432" w:type="pct"/>
            <w:vAlign w:val="center"/>
          </w:tcPr>
          <w:p w14:paraId="2B84B7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4、质控结果人工修改：系统支持对AI质控结果进行修改，如：通过、编辑、新增或删除质控条目等。</w:t>
            </w:r>
          </w:p>
        </w:tc>
        <w:tc>
          <w:tcPr>
            <w:tcW w:w="711" w:type="pct"/>
            <w:vAlign w:val="center"/>
          </w:tcPr>
          <w:p w14:paraId="1C50E929">
            <w:pPr>
              <w:spacing w:line="400" w:lineRule="exact"/>
              <w:jc w:val="left"/>
              <w:rPr>
                <w:rFonts w:hint="eastAsia" w:ascii="宋体" w:hAnsi="宋体" w:cs="宋体"/>
                <w:kern w:val="0"/>
                <w:sz w:val="21"/>
                <w:szCs w:val="21"/>
              </w:rPr>
            </w:pPr>
          </w:p>
        </w:tc>
        <w:tc>
          <w:tcPr>
            <w:tcW w:w="545" w:type="pct"/>
            <w:vAlign w:val="center"/>
          </w:tcPr>
          <w:p w14:paraId="11A22692">
            <w:pPr>
              <w:spacing w:line="400" w:lineRule="exact"/>
              <w:jc w:val="left"/>
              <w:rPr>
                <w:rFonts w:hint="eastAsia" w:ascii="宋体" w:hAnsi="宋体" w:cs="宋体"/>
                <w:kern w:val="0"/>
                <w:sz w:val="21"/>
                <w:szCs w:val="21"/>
              </w:rPr>
            </w:pPr>
          </w:p>
        </w:tc>
      </w:tr>
      <w:tr w14:paraId="591F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03E5781A">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3.</w:t>
            </w:r>
            <w:r>
              <w:rPr>
                <w:rFonts w:hint="eastAsia" w:cs="宋体" w:asciiTheme="minorEastAsia" w:hAnsiTheme="minorEastAsia"/>
                <w:b/>
                <w:bCs/>
                <w:kern w:val="0"/>
                <w:sz w:val="21"/>
                <w:szCs w:val="21"/>
              </w:rPr>
              <w:t>门/急诊病历质控统计分析平台</w:t>
            </w:r>
          </w:p>
        </w:tc>
        <w:tc>
          <w:tcPr>
            <w:tcW w:w="592" w:type="pct"/>
            <w:vAlign w:val="center"/>
          </w:tcPr>
          <w:p w14:paraId="153D338C">
            <w:pPr>
              <w:spacing w:line="400" w:lineRule="exact"/>
              <w:jc w:val="center"/>
              <w:rPr>
                <w:rFonts w:hint="eastAsia" w:ascii="宋体" w:hAnsi="宋体" w:cs="宋体"/>
                <w:kern w:val="0"/>
                <w:sz w:val="21"/>
                <w:szCs w:val="21"/>
              </w:rPr>
            </w:pPr>
            <w:r>
              <w:rPr>
                <w:rFonts w:hint="eastAsia" w:ascii="宋体" w:hAnsi="宋体" w:cs="宋体"/>
                <w:kern w:val="0"/>
                <w:sz w:val="21"/>
                <w:szCs w:val="21"/>
              </w:rPr>
              <w:t>科室质量分析</w:t>
            </w:r>
          </w:p>
        </w:tc>
        <w:tc>
          <w:tcPr>
            <w:tcW w:w="2432" w:type="pct"/>
            <w:vAlign w:val="center"/>
          </w:tcPr>
          <w:p w14:paraId="67EF3A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支持对全院各门诊科室病历质量情况进行统计分析，包括门诊患者数、问题数、修正问题数、科室质量情况分布等。</w:t>
            </w:r>
          </w:p>
        </w:tc>
        <w:tc>
          <w:tcPr>
            <w:tcW w:w="711" w:type="pct"/>
            <w:vAlign w:val="center"/>
          </w:tcPr>
          <w:p w14:paraId="6373E2A1">
            <w:pPr>
              <w:spacing w:line="400" w:lineRule="exact"/>
              <w:jc w:val="left"/>
              <w:rPr>
                <w:rFonts w:hint="eastAsia" w:ascii="宋体" w:hAnsi="宋体" w:cs="宋体"/>
                <w:kern w:val="0"/>
                <w:sz w:val="21"/>
                <w:szCs w:val="21"/>
              </w:rPr>
            </w:pPr>
          </w:p>
        </w:tc>
        <w:tc>
          <w:tcPr>
            <w:tcW w:w="545" w:type="pct"/>
            <w:vAlign w:val="center"/>
          </w:tcPr>
          <w:p w14:paraId="322F1E40">
            <w:pPr>
              <w:spacing w:line="400" w:lineRule="exact"/>
              <w:jc w:val="left"/>
              <w:rPr>
                <w:rFonts w:hint="eastAsia" w:ascii="宋体" w:hAnsi="宋体" w:cs="宋体"/>
                <w:kern w:val="0"/>
                <w:sz w:val="21"/>
                <w:szCs w:val="21"/>
              </w:rPr>
            </w:pPr>
          </w:p>
        </w:tc>
      </w:tr>
      <w:tr w14:paraId="6B00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648A874E">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3175A549">
            <w:pPr>
              <w:spacing w:line="400" w:lineRule="exact"/>
              <w:jc w:val="center"/>
              <w:rPr>
                <w:rFonts w:hint="eastAsia" w:ascii="宋体" w:hAnsi="宋体" w:cs="宋体"/>
                <w:kern w:val="0"/>
                <w:sz w:val="21"/>
                <w:szCs w:val="21"/>
              </w:rPr>
            </w:pPr>
            <w:r>
              <w:rPr>
                <w:rFonts w:hint="eastAsia" w:ascii="宋体" w:hAnsi="宋体" w:cs="宋体"/>
                <w:kern w:val="0"/>
                <w:sz w:val="21"/>
                <w:szCs w:val="21"/>
              </w:rPr>
              <w:t>医生质量分析</w:t>
            </w:r>
          </w:p>
        </w:tc>
        <w:tc>
          <w:tcPr>
            <w:tcW w:w="2432" w:type="pct"/>
            <w:vAlign w:val="center"/>
          </w:tcPr>
          <w:p w14:paraId="0952B5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支持对全院各门诊医生病历质量情况进行统计分析，包括门诊患者数、问题数、修正问题数、门诊医生质量情况分布等。</w:t>
            </w:r>
          </w:p>
        </w:tc>
        <w:tc>
          <w:tcPr>
            <w:tcW w:w="711" w:type="pct"/>
            <w:vAlign w:val="center"/>
          </w:tcPr>
          <w:p w14:paraId="3013F748">
            <w:pPr>
              <w:spacing w:line="400" w:lineRule="exact"/>
              <w:jc w:val="left"/>
              <w:rPr>
                <w:rFonts w:hint="eastAsia" w:ascii="宋体" w:hAnsi="宋体" w:cs="宋体"/>
                <w:kern w:val="0"/>
                <w:sz w:val="21"/>
                <w:szCs w:val="21"/>
              </w:rPr>
            </w:pPr>
          </w:p>
        </w:tc>
        <w:tc>
          <w:tcPr>
            <w:tcW w:w="545" w:type="pct"/>
            <w:vAlign w:val="center"/>
          </w:tcPr>
          <w:p w14:paraId="7658B827">
            <w:pPr>
              <w:spacing w:line="400" w:lineRule="exact"/>
              <w:jc w:val="left"/>
              <w:rPr>
                <w:rFonts w:hint="eastAsia" w:ascii="宋体" w:hAnsi="宋体" w:cs="宋体"/>
                <w:kern w:val="0"/>
                <w:sz w:val="21"/>
                <w:szCs w:val="21"/>
              </w:rPr>
            </w:pPr>
          </w:p>
        </w:tc>
      </w:tr>
      <w:tr w14:paraId="331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F32A912">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558D13C5">
            <w:pPr>
              <w:spacing w:line="400" w:lineRule="exact"/>
              <w:jc w:val="center"/>
              <w:rPr>
                <w:rFonts w:hint="eastAsia" w:ascii="宋体" w:hAnsi="宋体" w:cs="宋体"/>
                <w:kern w:val="0"/>
                <w:sz w:val="21"/>
                <w:szCs w:val="21"/>
              </w:rPr>
            </w:pPr>
            <w:r>
              <w:rPr>
                <w:rFonts w:hint="eastAsia" w:ascii="宋体" w:hAnsi="宋体" w:cs="宋体"/>
                <w:kern w:val="0"/>
                <w:sz w:val="21"/>
                <w:szCs w:val="21"/>
              </w:rPr>
              <w:t>问题分析</w:t>
            </w:r>
          </w:p>
        </w:tc>
        <w:tc>
          <w:tcPr>
            <w:tcW w:w="2432" w:type="pct"/>
            <w:vAlign w:val="center"/>
          </w:tcPr>
          <w:p w14:paraId="203C4C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支持查看门诊病历的缺陷问题明细列表，分析全院缺陷问题，包括各缺陷问题的质控患者数汇总、质控失败患者数汇总、质控修正患者数汇总、质控患者修正率汇总、质控点等级。</w:t>
            </w:r>
          </w:p>
        </w:tc>
        <w:tc>
          <w:tcPr>
            <w:tcW w:w="711" w:type="pct"/>
            <w:vAlign w:val="center"/>
          </w:tcPr>
          <w:p w14:paraId="23F73275">
            <w:pPr>
              <w:spacing w:line="400" w:lineRule="exact"/>
              <w:jc w:val="left"/>
              <w:rPr>
                <w:rFonts w:hint="eastAsia" w:ascii="宋体" w:hAnsi="宋体" w:cs="宋体"/>
                <w:kern w:val="0"/>
                <w:sz w:val="21"/>
                <w:szCs w:val="21"/>
              </w:rPr>
            </w:pPr>
          </w:p>
        </w:tc>
        <w:tc>
          <w:tcPr>
            <w:tcW w:w="545" w:type="pct"/>
            <w:vAlign w:val="center"/>
          </w:tcPr>
          <w:p w14:paraId="7CCAAD58">
            <w:pPr>
              <w:spacing w:line="400" w:lineRule="exact"/>
              <w:jc w:val="left"/>
              <w:rPr>
                <w:rFonts w:hint="eastAsia" w:ascii="宋体" w:hAnsi="宋体" w:cs="宋体"/>
                <w:kern w:val="0"/>
                <w:sz w:val="21"/>
                <w:szCs w:val="21"/>
              </w:rPr>
            </w:pPr>
          </w:p>
        </w:tc>
      </w:tr>
      <w:tr w14:paraId="2964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63D55B58">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4.</w:t>
            </w:r>
            <w:r>
              <w:rPr>
                <w:rFonts w:hint="eastAsia" w:cs="宋体" w:asciiTheme="minorEastAsia" w:hAnsiTheme="minorEastAsia"/>
                <w:b/>
                <w:bCs/>
                <w:kern w:val="0"/>
                <w:sz w:val="21"/>
                <w:szCs w:val="21"/>
              </w:rPr>
              <w:t>门急诊病历质控管理平台</w:t>
            </w:r>
          </w:p>
        </w:tc>
        <w:tc>
          <w:tcPr>
            <w:tcW w:w="592" w:type="pct"/>
            <w:vMerge w:val="restart"/>
            <w:vAlign w:val="center"/>
          </w:tcPr>
          <w:p w14:paraId="0B1E2CAB">
            <w:pPr>
              <w:spacing w:line="400" w:lineRule="exact"/>
              <w:jc w:val="center"/>
              <w:rPr>
                <w:rFonts w:hint="eastAsia" w:ascii="宋体" w:hAnsi="宋体" w:cs="宋体"/>
                <w:kern w:val="0"/>
                <w:sz w:val="21"/>
                <w:szCs w:val="21"/>
              </w:rPr>
            </w:pPr>
            <w:r>
              <w:rPr>
                <w:rFonts w:hint="eastAsia" w:ascii="宋体" w:hAnsi="宋体" w:cs="宋体"/>
                <w:kern w:val="0"/>
                <w:sz w:val="21"/>
                <w:szCs w:val="21"/>
              </w:rPr>
              <w:t>质控点维护</w:t>
            </w:r>
          </w:p>
        </w:tc>
        <w:tc>
          <w:tcPr>
            <w:tcW w:w="2432" w:type="pct"/>
            <w:vAlign w:val="center"/>
          </w:tcPr>
          <w:p w14:paraId="1FA44C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1、质控点列表：支持在质控点查询页面查看每条质控点的质控逻辑、质控点状态。</w:t>
            </w:r>
          </w:p>
        </w:tc>
        <w:tc>
          <w:tcPr>
            <w:tcW w:w="711" w:type="pct"/>
            <w:vAlign w:val="center"/>
          </w:tcPr>
          <w:p w14:paraId="71EB2476">
            <w:pPr>
              <w:spacing w:line="400" w:lineRule="exact"/>
              <w:jc w:val="left"/>
              <w:rPr>
                <w:rFonts w:hint="eastAsia" w:ascii="宋体" w:hAnsi="宋体" w:cs="宋体"/>
                <w:kern w:val="0"/>
                <w:sz w:val="21"/>
                <w:szCs w:val="21"/>
              </w:rPr>
            </w:pPr>
          </w:p>
        </w:tc>
        <w:tc>
          <w:tcPr>
            <w:tcW w:w="545" w:type="pct"/>
            <w:vAlign w:val="center"/>
          </w:tcPr>
          <w:p w14:paraId="28DE675B">
            <w:pPr>
              <w:spacing w:line="400" w:lineRule="exact"/>
              <w:jc w:val="left"/>
              <w:rPr>
                <w:rFonts w:hint="eastAsia" w:ascii="宋体" w:hAnsi="宋体" w:cs="宋体"/>
                <w:kern w:val="0"/>
                <w:sz w:val="21"/>
                <w:szCs w:val="21"/>
              </w:rPr>
            </w:pPr>
          </w:p>
        </w:tc>
      </w:tr>
      <w:tr w14:paraId="6634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717" w:type="pct"/>
            <w:vMerge w:val="continue"/>
            <w:vAlign w:val="center"/>
          </w:tcPr>
          <w:p w14:paraId="21C17561">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Merge w:val="continue"/>
            <w:vAlign w:val="center"/>
          </w:tcPr>
          <w:p w14:paraId="15C0C98E">
            <w:pPr>
              <w:spacing w:line="400" w:lineRule="exact"/>
              <w:jc w:val="center"/>
              <w:rPr>
                <w:rFonts w:hint="eastAsia" w:ascii="宋体" w:hAnsi="宋体" w:cs="宋体"/>
                <w:kern w:val="0"/>
                <w:sz w:val="21"/>
                <w:szCs w:val="21"/>
              </w:rPr>
            </w:pPr>
          </w:p>
        </w:tc>
        <w:tc>
          <w:tcPr>
            <w:tcW w:w="2432" w:type="pct"/>
            <w:vAlign w:val="center"/>
          </w:tcPr>
          <w:p w14:paraId="200112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2、质控点管理：</w:t>
            </w:r>
          </w:p>
          <w:p w14:paraId="6437F7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支持按质控点名称、质控逻辑、类型、状态、提醒级别进行质控点的查询。</w:t>
            </w:r>
          </w:p>
          <w:p w14:paraId="521668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支持对质控点的生效状态进行开启/关闭。</w:t>
            </w:r>
          </w:p>
          <w:p w14:paraId="40A8BE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支持质控点级别的自定义配置，支持3级配置，3级为最高级别。</w:t>
            </w:r>
          </w:p>
        </w:tc>
        <w:tc>
          <w:tcPr>
            <w:tcW w:w="711" w:type="pct"/>
            <w:vAlign w:val="center"/>
          </w:tcPr>
          <w:p w14:paraId="0CF09161">
            <w:pPr>
              <w:spacing w:line="400" w:lineRule="exact"/>
              <w:jc w:val="left"/>
              <w:rPr>
                <w:rFonts w:hint="eastAsia" w:ascii="宋体" w:hAnsi="宋体" w:cs="宋体"/>
                <w:kern w:val="0"/>
                <w:sz w:val="21"/>
                <w:szCs w:val="21"/>
              </w:rPr>
            </w:pPr>
          </w:p>
        </w:tc>
        <w:tc>
          <w:tcPr>
            <w:tcW w:w="545" w:type="pct"/>
            <w:vAlign w:val="center"/>
          </w:tcPr>
          <w:p w14:paraId="40A315D8">
            <w:pPr>
              <w:spacing w:line="400" w:lineRule="exact"/>
              <w:jc w:val="left"/>
              <w:rPr>
                <w:rFonts w:hint="eastAsia" w:ascii="宋体" w:hAnsi="宋体" w:cs="宋体"/>
                <w:kern w:val="0"/>
                <w:sz w:val="21"/>
                <w:szCs w:val="21"/>
              </w:rPr>
            </w:pPr>
          </w:p>
        </w:tc>
      </w:tr>
      <w:tr w14:paraId="7523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717" w:type="pct"/>
            <w:vMerge w:val="continue"/>
            <w:vAlign w:val="center"/>
          </w:tcPr>
          <w:p w14:paraId="40ABD785">
            <w:pPr>
              <w:pStyle w:val="30"/>
              <w:numPr>
                <w:ilvl w:val="0"/>
                <w:numId w:val="1"/>
              </w:numPr>
              <w:spacing w:line="400" w:lineRule="exact"/>
              <w:ind w:left="0" w:firstLine="0" w:firstLineChars="0"/>
              <w:rPr>
                <w:rFonts w:hint="eastAsia" w:cs="宋体" w:asciiTheme="minorEastAsia" w:hAnsiTheme="minorEastAsia"/>
                <w:b/>
                <w:bCs/>
                <w:kern w:val="0"/>
                <w:sz w:val="21"/>
                <w:szCs w:val="21"/>
              </w:rPr>
            </w:pPr>
          </w:p>
        </w:tc>
        <w:tc>
          <w:tcPr>
            <w:tcW w:w="592" w:type="pct"/>
            <w:vAlign w:val="center"/>
          </w:tcPr>
          <w:p w14:paraId="1B77F045">
            <w:pPr>
              <w:spacing w:line="400" w:lineRule="exact"/>
              <w:jc w:val="center"/>
              <w:rPr>
                <w:rFonts w:hint="eastAsia" w:ascii="宋体" w:hAnsi="宋体" w:cs="宋体"/>
                <w:kern w:val="0"/>
                <w:sz w:val="21"/>
                <w:szCs w:val="21"/>
              </w:rPr>
            </w:pPr>
            <w:r>
              <w:rPr>
                <w:rFonts w:hint="eastAsia" w:ascii="宋体" w:hAnsi="宋体" w:cs="宋体"/>
                <w:kern w:val="0"/>
                <w:sz w:val="21"/>
                <w:szCs w:val="21"/>
              </w:rPr>
              <w:t>系统管理</w:t>
            </w:r>
          </w:p>
        </w:tc>
        <w:tc>
          <w:tcPr>
            <w:tcW w:w="2432" w:type="pct"/>
            <w:vAlign w:val="center"/>
          </w:tcPr>
          <w:p w14:paraId="634950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提供用户使用系统的授权控制。</w:t>
            </w:r>
          </w:p>
          <w:p w14:paraId="0EA4D2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支持用户功能权限的配置管理。</w:t>
            </w:r>
          </w:p>
          <w:p w14:paraId="641EBE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支持用户数据权限范围的授权管理。</w:t>
            </w:r>
          </w:p>
        </w:tc>
        <w:tc>
          <w:tcPr>
            <w:tcW w:w="711" w:type="pct"/>
            <w:vAlign w:val="center"/>
          </w:tcPr>
          <w:p w14:paraId="30DAB9C4">
            <w:pPr>
              <w:spacing w:line="400" w:lineRule="exact"/>
              <w:jc w:val="left"/>
              <w:rPr>
                <w:rFonts w:hint="eastAsia" w:ascii="宋体" w:hAnsi="宋体" w:cs="宋体"/>
                <w:kern w:val="0"/>
                <w:sz w:val="21"/>
                <w:szCs w:val="21"/>
              </w:rPr>
            </w:pPr>
          </w:p>
        </w:tc>
        <w:tc>
          <w:tcPr>
            <w:tcW w:w="545" w:type="pct"/>
            <w:vAlign w:val="center"/>
          </w:tcPr>
          <w:p w14:paraId="2BB487AF">
            <w:pPr>
              <w:spacing w:line="400" w:lineRule="exact"/>
              <w:jc w:val="left"/>
              <w:rPr>
                <w:rFonts w:hint="eastAsia" w:ascii="宋体" w:hAnsi="宋体" w:cs="宋体"/>
                <w:kern w:val="0"/>
                <w:sz w:val="21"/>
                <w:szCs w:val="21"/>
              </w:rPr>
            </w:pPr>
          </w:p>
        </w:tc>
      </w:tr>
      <w:tr w14:paraId="00EC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Align w:val="center"/>
          </w:tcPr>
          <w:p w14:paraId="61425DA9">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5.</w:t>
            </w:r>
            <w:r>
              <w:rPr>
                <w:rFonts w:hint="eastAsia" w:cs="宋体" w:asciiTheme="minorEastAsia" w:hAnsiTheme="minorEastAsia"/>
                <w:b/>
                <w:bCs/>
                <w:kern w:val="0"/>
                <w:sz w:val="21"/>
                <w:szCs w:val="21"/>
              </w:rPr>
              <w:t>门急诊病历形式质控点</w:t>
            </w:r>
          </w:p>
        </w:tc>
        <w:tc>
          <w:tcPr>
            <w:tcW w:w="592" w:type="pct"/>
            <w:vAlign w:val="center"/>
          </w:tcPr>
          <w:p w14:paraId="4A10122E">
            <w:pPr>
              <w:spacing w:line="400" w:lineRule="exact"/>
              <w:jc w:val="center"/>
              <w:rPr>
                <w:rFonts w:hint="eastAsia" w:ascii="宋体" w:hAnsi="宋体" w:cs="宋体"/>
                <w:kern w:val="0"/>
                <w:sz w:val="21"/>
                <w:szCs w:val="21"/>
              </w:rPr>
            </w:pPr>
            <w:r>
              <w:rPr>
                <w:rFonts w:hint="eastAsia" w:ascii="宋体" w:hAnsi="宋体" w:cs="宋体"/>
                <w:kern w:val="0"/>
                <w:sz w:val="21"/>
                <w:szCs w:val="21"/>
              </w:rPr>
              <w:t>形式质控点覆盖</w:t>
            </w:r>
          </w:p>
        </w:tc>
        <w:tc>
          <w:tcPr>
            <w:tcW w:w="2432" w:type="pct"/>
            <w:vAlign w:val="center"/>
          </w:tcPr>
          <w:p w14:paraId="65965D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系统应覆盖门诊病历、门诊复诊病历、门诊补充续打病历等内容的书写一致性、完整性、合规性。如：</w:t>
            </w:r>
          </w:p>
          <w:p w14:paraId="548377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门诊病历主诉完整性质检；</w:t>
            </w:r>
          </w:p>
          <w:p w14:paraId="5280C6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门诊病历门诊诊断完整性质检；</w:t>
            </w:r>
          </w:p>
          <w:p w14:paraId="314846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门诊复诊病历-既往史填写规范性质检；</w:t>
            </w:r>
          </w:p>
          <w:p w14:paraId="3CBE76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门诊复诊病历-体格检查填写规范性质检。</w:t>
            </w:r>
          </w:p>
        </w:tc>
        <w:tc>
          <w:tcPr>
            <w:tcW w:w="711" w:type="pct"/>
            <w:vAlign w:val="center"/>
          </w:tcPr>
          <w:p w14:paraId="0A7DD853">
            <w:pPr>
              <w:pStyle w:val="9"/>
              <w:numPr>
                <w:ilvl w:val="0"/>
                <w:numId w:val="0"/>
              </w:numPr>
              <w:spacing w:before="0" w:line="400" w:lineRule="exact"/>
              <w:ind w:leftChars="0"/>
              <w:jc w:val="both"/>
              <w:rPr>
                <w:rFonts w:hint="eastAsia"/>
                <w:sz w:val="21"/>
                <w:szCs w:val="21"/>
                <w:lang w:eastAsia="zh-CN"/>
              </w:rPr>
            </w:pPr>
          </w:p>
        </w:tc>
        <w:tc>
          <w:tcPr>
            <w:tcW w:w="545" w:type="pct"/>
            <w:vAlign w:val="center"/>
          </w:tcPr>
          <w:p w14:paraId="65CCD574">
            <w:pPr>
              <w:pStyle w:val="9"/>
              <w:numPr>
                <w:ilvl w:val="0"/>
                <w:numId w:val="0"/>
              </w:numPr>
              <w:spacing w:before="0" w:line="400" w:lineRule="exact"/>
              <w:ind w:leftChars="0"/>
              <w:jc w:val="both"/>
              <w:rPr>
                <w:rFonts w:hint="eastAsia"/>
                <w:sz w:val="21"/>
                <w:szCs w:val="21"/>
                <w:lang w:eastAsia="zh-CN"/>
              </w:rPr>
            </w:pPr>
          </w:p>
        </w:tc>
      </w:tr>
      <w:tr w14:paraId="59FD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7212D8A4">
            <w:pPr>
              <w:pStyle w:val="30"/>
              <w:numPr>
                <w:ilvl w:val="0"/>
                <w:numId w:val="0"/>
              </w:numPr>
              <w:spacing w:line="400" w:lineRule="exact"/>
              <w:ind w:left="0" w:leftChars="0" w:firstLine="0" w:firstLineChars="0"/>
              <w:rPr>
                <w:rFonts w:hint="eastAsia" w:cs="宋体" w:asciiTheme="minorEastAsia" w:hAnsiTheme="minorEastAsia"/>
                <w:b/>
                <w:bCs/>
                <w:kern w:val="0"/>
                <w:sz w:val="21"/>
                <w:szCs w:val="21"/>
              </w:rPr>
            </w:pPr>
            <w:r>
              <w:rPr>
                <w:rFonts w:hint="default" w:cs="宋体" w:asciiTheme="minorEastAsia" w:hAnsiTheme="minorEastAsia" w:eastAsiaTheme="minorEastAsia"/>
                <w:b/>
                <w:bCs/>
                <w:kern w:val="0"/>
                <w:sz w:val="21"/>
                <w:szCs w:val="21"/>
                <w:lang w:val="en-US" w:eastAsia="zh-CN" w:bidi="ar-SA"/>
              </w:rPr>
              <w:t>6.</w:t>
            </w:r>
            <w:r>
              <w:rPr>
                <w:rFonts w:hint="eastAsia" w:cs="宋体" w:asciiTheme="minorEastAsia" w:hAnsiTheme="minorEastAsia"/>
                <w:b/>
                <w:bCs/>
                <w:kern w:val="0"/>
                <w:sz w:val="21"/>
                <w:szCs w:val="21"/>
              </w:rPr>
              <w:t>门急诊病历内涵质控点</w:t>
            </w:r>
          </w:p>
        </w:tc>
        <w:tc>
          <w:tcPr>
            <w:tcW w:w="592" w:type="pct"/>
            <w:vAlign w:val="center"/>
          </w:tcPr>
          <w:p w14:paraId="580E12D3">
            <w:pPr>
              <w:spacing w:line="400" w:lineRule="exact"/>
              <w:jc w:val="center"/>
              <w:rPr>
                <w:rFonts w:hint="eastAsia" w:ascii="宋体" w:hAnsi="宋体" w:cs="宋体"/>
                <w:kern w:val="0"/>
                <w:sz w:val="21"/>
                <w:szCs w:val="21"/>
              </w:rPr>
            </w:pPr>
            <w:r>
              <w:rPr>
                <w:rFonts w:hint="eastAsia" w:ascii="宋体" w:hAnsi="宋体" w:cs="宋体"/>
                <w:kern w:val="0"/>
                <w:sz w:val="21"/>
                <w:szCs w:val="21"/>
              </w:rPr>
              <w:t>内涵质控点覆盖</w:t>
            </w:r>
          </w:p>
        </w:tc>
        <w:tc>
          <w:tcPr>
            <w:tcW w:w="2432" w:type="pct"/>
            <w:vAlign w:val="center"/>
          </w:tcPr>
          <w:p w14:paraId="2EF4FD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系统通过自然语言处理智能分析病历文书、医嘱/处方、检验检查结果等多维度病历信息，实现门诊病历内涵的全覆盖，包括内涵一致性、诊疗过程合理性、文书书写缺陷、客观逻辑一致性。</w:t>
            </w:r>
          </w:p>
        </w:tc>
        <w:tc>
          <w:tcPr>
            <w:tcW w:w="711" w:type="pct"/>
            <w:vAlign w:val="center"/>
          </w:tcPr>
          <w:p w14:paraId="0005DF68">
            <w:pPr>
              <w:spacing w:line="400" w:lineRule="exact"/>
              <w:jc w:val="left"/>
              <w:rPr>
                <w:rFonts w:hint="eastAsia" w:ascii="宋体" w:hAnsi="宋体" w:cs="宋体"/>
                <w:kern w:val="0"/>
                <w:sz w:val="21"/>
                <w:szCs w:val="21"/>
              </w:rPr>
            </w:pPr>
          </w:p>
        </w:tc>
        <w:tc>
          <w:tcPr>
            <w:tcW w:w="545" w:type="pct"/>
            <w:vAlign w:val="center"/>
          </w:tcPr>
          <w:p w14:paraId="22A07B01">
            <w:pPr>
              <w:spacing w:line="400" w:lineRule="exact"/>
              <w:jc w:val="left"/>
              <w:rPr>
                <w:rFonts w:hint="eastAsia" w:ascii="宋体" w:hAnsi="宋体" w:cs="宋体"/>
                <w:kern w:val="0"/>
                <w:sz w:val="21"/>
                <w:szCs w:val="21"/>
              </w:rPr>
            </w:pPr>
          </w:p>
        </w:tc>
      </w:tr>
      <w:tr w14:paraId="746B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1CB9375">
            <w:pPr>
              <w:spacing w:line="400" w:lineRule="exact"/>
              <w:jc w:val="left"/>
              <w:rPr>
                <w:rFonts w:hint="eastAsia" w:ascii="宋体" w:hAnsi="宋体" w:cs="宋体"/>
                <w:kern w:val="0"/>
                <w:sz w:val="21"/>
                <w:szCs w:val="21"/>
              </w:rPr>
            </w:pPr>
          </w:p>
        </w:tc>
        <w:tc>
          <w:tcPr>
            <w:tcW w:w="592" w:type="pct"/>
            <w:vAlign w:val="center"/>
          </w:tcPr>
          <w:p w14:paraId="39E4C9DE">
            <w:pPr>
              <w:spacing w:line="400" w:lineRule="exact"/>
              <w:jc w:val="center"/>
              <w:rPr>
                <w:rFonts w:hint="eastAsia" w:ascii="宋体" w:hAnsi="宋体" w:cs="宋体"/>
                <w:kern w:val="0"/>
                <w:sz w:val="21"/>
                <w:szCs w:val="21"/>
              </w:rPr>
            </w:pPr>
            <w:r>
              <w:rPr>
                <w:rFonts w:hint="eastAsia" w:ascii="宋体" w:hAnsi="宋体" w:cs="宋体"/>
                <w:kern w:val="0"/>
                <w:sz w:val="21"/>
                <w:szCs w:val="21"/>
              </w:rPr>
              <w:t>内涵一致性质控点</w:t>
            </w:r>
          </w:p>
        </w:tc>
        <w:tc>
          <w:tcPr>
            <w:tcW w:w="2432" w:type="pct"/>
            <w:vAlign w:val="center"/>
          </w:tcPr>
          <w:p w14:paraId="192125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▲系统可检查文书中对同一情况的记录是否一致进行质控，以此来保证数据准确性，如：</w:t>
            </w:r>
          </w:p>
          <w:p w14:paraId="27B180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门诊体格检查心率与脉搏数值不一致；</w:t>
            </w:r>
          </w:p>
          <w:p w14:paraId="5F901B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处置记录药品名称和医嘱不一致；</w:t>
            </w:r>
          </w:p>
          <w:p w14:paraId="3684FB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手术史和体格检查结果矛盾；</w:t>
            </w:r>
          </w:p>
          <w:p w14:paraId="26A2CF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门诊复诊病历，主诉和门诊诊断中的方位不一致。</w:t>
            </w:r>
          </w:p>
        </w:tc>
        <w:tc>
          <w:tcPr>
            <w:tcW w:w="711" w:type="pct"/>
            <w:vAlign w:val="center"/>
          </w:tcPr>
          <w:p w14:paraId="64668186">
            <w:pPr>
              <w:pStyle w:val="9"/>
              <w:numPr>
                <w:ilvl w:val="0"/>
                <w:numId w:val="0"/>
              </w:numPr>
              <w:spacing w:before="0" w:line="400" w:lineRule="exact"/>
              <w:ind w:leftChars="0"/>
              <w:jc w:val="both"/>
              <w:rPr>
                <w:rFonts w:hint="eastAsia"/>
                <w:sz w:val="21"/>
                <w:szCs w:val="21"/>
                <w:lang w:eastAsia="zh-CN"/>
              </w:rPr>
            </w:pPr>
          </w:p>
        </w:tc>
        <w:tc>
          <w:tcPr>
            <w:tcW w:w="545" w:type="pct"/>
            <w:vAlign w:val="center"/>
          </w:tcPr>
          <w:p w14:paraId="2E26BAB6">
            <w:pPr>
              <w:pStyle w:val="9"/>
              <w:numPr>
                <w:ilvl w:val="0"/>
                <w:numId w:val="0"/>
              </w:numPr>
              <w:spacing w:before="0" w:line="400" w:lineRule="exact"/>
              <w:ind w:leftChars="0"/>
              <w:jc w:val="both"/>
              <w:rPr>
                <w:rFonts w:hint="eastAsia"/>
                <w:sz w:val="21"/>
                <w:szCs w:val="21"/>
                <w:lang w:eastAsia="zh-CN"/>
              </w:rPr>
            </w:pPr>
          </w:p>
        </w:tc>
      </w:tr>
      <w:tr w14:paraId="4DF9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5449417">
            <w:pPr>
              <w:spacing w:line="400" w:lineRule="exact"/>
              <w:jc w:val="left"/>
              <w:rPr>
                <w:rFonts w:hint="eastAsia" w:ascii="宋体" w:hAnsi="宋体" w:cs="宋体"/>
                <w:kern w:val="0"/>
                <w:sz w:val="21"/>
                <w:szCs w:val="21"/>
              </w:rPr>
            </w:pPr>
          </w:p>
        </w:tc>
        <w:tc>
          <w:tcPr>
            <w:tcW w:w="592" w:type="pct"/>
            <w:vAlign w:val="center"/>
          </w:tcPr>
          <w:p w14:paraId="32F1ED5B">
            <w:pPr>
              <w:spacing w:line="400" w:lineRule="exact"/>
              <w:jc w:val="center"/>
              <w:rPr>
                <w:rFonts w:hint="eastAsia" w:ascii="宋体" w:hAnsi="宋体" w:cs="宋体"/>
                <w:kern w:val="0"/>
                <w:sz w:val="21"/>
                <w:szCs w:val="21"/>
              </w:rPr>
            </w:pPr>
            <w:r>
              <w:rPr>
                <w:rFonts w:hint="eastAsia" w:ascii="宋体" w:hAnsi="宋体" w:cs="宋体"/>
                <w:kern w:val="0"/>
                <w:sz w:val="21"/>
                <w:szCs w:val="21"/>
              </w:rPr>
              <w:t>诊疗过程合理性质控点</w:t>
            </w:r>
          </w:p>
        </w:tc>
        <w:tc>
          <w:tcPr>
            <w:tcW w:w="2432" w:type="pct"/>
            <w:vAlign w:val="center"/>
          </w:tcPr>
          <w:p w14:paraId="062B7B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▲系统可结合患者全病历文书以及医嘱/处方、检验检查结果等，判断医生的诊断、检查检查开立和药物的使用及病程记录是否符合患者病情特点，如：</w:t>
            </w:r>
          </w:p>
          <w:p w14:paraId="4D3FD6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门诊病历诊断内容合理性质检（门诊病历中，诊断里填写的内容不能出现“体检、配药、复诊”等不符合规范的名称）；</w:t>
            </w:r>
          </w:p>
          <w:p w14:paraId="2526EE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门诊病历-处置记录中的药品名称，和诊断无对应关系。</w:t>
            </w:r>
          </w:p>
        </w:tc>
        <w:tc>
          <w:tcPr>
            <w:tcW w:w="711" w:type="pct"/>
            <w:vAlign w:val="center"/>
          </w:tcPr>
          <w:p w14:paraId="723D2097">
            <w:pPr>
              <w:numPr>
                <w:ilvl w:val="0"/>
                <w:numId w:val="0"/>
              </w:numPr>
              <w:spacing w:line="400" w:lineRule="exact"/>
              <w:ind w:leftChars="0"/>
              <w:jc w:val="left"/>
              <w:rPr>
                <w:rFonts w:hint="eastAsia" w:ascii="宋体" w:hAnsi="宋体" w:cs="宋体"/>
                <w:kern w:val="0"/>
                <w:sz w:val="21"/>
                <w:szCs w:val="21"/>
              </w:rPr>
            </w:pPr>
          </w:p>
        </w:tc>
        <w:tc>
          <w:tcPr>
            <w:tcW w:w="545" w:type="pct"/>
            <w:vAlign w:val="center"/>
          </w:tcPr>
          <w:p w14:paraId="36099C61">
            <w:pPr>
              <w:numPr>
                <w:ilvl w:val="0"/>
                <w:numId w:val="0"/>
              </w:numPr>
              <w:spacing w:line="400" w:lineRule="exact"/>
              <w:ind w:leftChars="0"/>
              <w:jc w:val="left"/>
              <w:rPr>
                <w:rFonts w:hint="eastAsia" w:ascii="宋体" w:hAnsi="宋体" w:cs="宋体"/>
                <w:kern w:val="0"/>
                <w:sz w:val="21"/>
                <w:szCs w:val="21"/>
              </w:rPr>
            </w:pPr>
          </w:p>
        </w:tc>
      </w:tr>
      <w:tr w14:paraId="235C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jc w:val="center"/>
        </w:trPr>
        <w:tc>
          <w:tcPr>
            <w:tcW w:w="717" w:type="pct"/>
            <w:vMerge w:val="continue"/>
            <w:vAlign w:val="center"/>
          </w:tcPr>
          <w:p w14:paraId="7D9623CC">
            <w:pPr>
              <w:spacing w:line="400" w:lineRule="exact"/>
              <w:jc w:val="left"/>
              <w:rPr>
                <w:rFonts w:hint="eastAsia" w:ascii="宋体" w:hAnsi="宋体" w:cs="宋体"/>
                <w:kern w:val="0"/>
                <w:sz w:val="21"/>
                <w:szCs w:val="21"/>
              </w:rPr>
            </w:pPr>
          </w:p>
        </w:tc>
        <w:tc>
          <w:tcPr>
            <w:tcW w:w="592" w:type="pct"/>
            <w:vAlign w:val="center"/>
          </w:tcPr>
          <w:p w14:paraId="03E8354F">
            <w:pPr>
              <w:spacing w:line="400" w:lineRule="exact"/>
              <w:jc w:val="center"/>
              <w:rPr>
                <w:rFonts w:hint="eastAsia" w:ascii="宋体" w:hAnsi="宋体" w:cs="宋体"/>
                <w:kern w:val="0"/>
                <w:sz w:val="21"/>
                <w:szCs w:val="21"/>
              </w:rPr>
            </w:pPr>
            <w:r>
              <w:rPr>
                <w:rFonts w:hint="eastAsia" w:ascii="宋体" w:hAnsi="宋体" w:cs="宋体"/>
                <w:kern w:val="0"/>
                <w:sz w:val="21"/>
                <w:szCs w:val="21"/>
              </w:rPr>
              <w:t>文书书写缺陷质控点</w:t>
            </w:r>
          </w:p>
        </w:tc>
        <w:tc>
          <w:tcPr>
            <w:tcW w:w="2432" w:type="pct"/>
            <w:vAlign w:val="center"/>
          </w:tcPr>
          <w:p w14:paraId="7E51D6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▲系统可检查各病历文书的记录内容是否存在缺陷；如：</w:t>
            </w:r>
          </w:p>
          <w:p w14:paraId="2495BB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病历中缺少相应诊断依据；</w:t>
            </w:r>
          </w:p>
          <w:p w14:paraId="1F5584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门诊手术外伤史具体名称未记录；</w:t>
            </w:r>
          </w:p>
          <w:p w14:paraId="2EBC79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门诊初诊患者，主诉中缺失主要症状；</w:t>
            </w:r>
          </w:p>
          <w:p w14:paraId="0F839F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门诊病历药品用法书写不规范（是否有书写用法、剂量等描述）。</w:t>
            </w:r>
          </w:p>
        </w:tc>
        <w:tc>
          <w:tcPr>
            <w:tcW w:w="711" w:type="pct"/>
            <w:vAlign w:val="center"/>
          </w:tcPr>
          <w:p w14:paraId="3CCC41F0">
            <w:pPr>
              <w:numPr>
                <w:ilvl w:val="0"/>
                <w:numId w:val="0"/>
              </w:numPr>
              <w:spacing w:line="400" w:lineRule="exact"/>
              <w:ind w:leftChars="0"/>
              <w:jc w:val="left"/>
              <w:rPr>
                <w:rFonts w:hint="eastAsia" w:ascii="宋体" w:hAnsi="宋体" w:cs="宋体"/>
                <w:kern w:val="0"/>
                <w:sz w:val="21"/>
                <w:szCs w:val="21"/>
              </w:rPr>
            </w:pPr>
          </w:p>
        </w:tc>
        <w:tc>
          <w:tcPr>
            <w:tcW w:w="545" w:type="pct"/>
            <w:vAlign w:val="center"/>
          </w:tcPr>
          <w:p w14:paraId="34FD3460">
            <w:pPr>
              <w:numPr>
                <w:ilvl w:val="0"/>
                <w:numId w:val="0"/>
              </w:numPr>
              <w:spacing w:line="400" w:lineRule="exact"/>
              <w:ind w:leftChars="0"/>
              <w:jc w:val="left"/>
              <w:rPr>
                <w:rFonts w:hint="eastAsia" w:ascii="宋体" w:hAnsi="宋体" w:cs="宋体"/>
                <w:kern w:val="0"/>
                <w:sz w:val="21"/>
                <w:szCs w:val="21"/>
              </w:rPr>
            </w:pPr>
          </w:p>
        </w:tc>
      </w:tr>
      <w:tr w14:paraId="4653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686353E">
            <w:pPr>
              <w:spacing w:line="400" w:lineRule="exact"/>
              <w:jc w:val="left"/>
              <w:rPr>
                <w:rFonts w:hint="eastAsia" w:ascii="宋体" w:hAnsi="宋体" w:cs="宋体"/>
                <w:kern w:val="0"/>
                <w:sz w:val="21"/>
                <w:szCs w:val="21"/>
              </w:rPr>
            </w:pPr>
          </w:p>
        </w:tc>
        <w:tc>
          <w:tcPr>
            <w:tcW w:w="592" w:type="pct"/>
            <w:vAlign w:val="center"/>
          </w:tcPr>
          <w:p w14:paraId="35B53988">
            <w:pPr>
              <w:spacing w:line="400" w:lineRule="exact"/>
              <w:jc w:val="center"/>
              <w:rPr>
                <w:rFonts w:hint="eastAsia" w:ascii="宋体" w:hAnsi="宋体" w:cs="宋体"/>
                <w:kern w:val="0"/>
                <w:sz w:val="21"/>
                <w:szCs w:val="21"/>
              </w:rPr>
            </w:pPr>
            <w:r>
              <w:rPr>
                <w:rFonts w:hint="eastAsia" w:ascii="宋体" w:hAnsi="宋体" w:cs="宋体"/>
                <w:kern w:val="0"/>
                <w:sz w:val="21"/>
                <w:szCs w:val="21"/>
              </w:rPr>
              <w:t>客观逻辑一致性质控点</w:t>
            </w:r>
          </w:p>
        </w:tc>
        <w:tc>
          <w:tcPr>
            <w:tcW w:w="2432" w:type="pct"/>
            <w:vAlign w:val="center"/>
          </w:tcPr>
          <w:p w14:paraId="046CDE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系统可检查全病历中记录的内容是否符合客观逻辑一致性。如：患者生命体征数值不合理。</w:t>
            </w:r>
          </w:p>
        </w:tc>
        <w:tc>
          <w:tcPr>
            <w:tcW w:w="711" w:type="pct"/>
            <w:vAlign w:val="center"/>
          </w:tcPr>
          <w:p w14:paraId="26CE1D07">
            <w:pPr>
              <w:spacing w:line="400" w:lineRule="exact"/>
              <w:jc w:val="left"/>
              <w:rPr>
                <w:rFonts w:hint="eastAsia" w:ascii="宋体" w:hAnsi="宋体" w:cs="宋体"/>
                <w:kern w:val="0"/>
                <w:sz w:val="21"/>
                <w:szCs w:val="21"/>
              </w:rPr>
            </w:pPr>
          </w:p>
        </w:tc>
        <w:tc>
          <w:tcPr>
            <w:tcW w:w="545" w:type="pct"/>
            <w:vAlign w:val="center"/>
          </w:tcPr>
          <w:p w14:paraId="7DA655B8">
            <w:pPr>
              <w:spacing w:line="400" w:lineRule="exact"/>
              <w:jc w:val="left"/>
              <w:rPr>
                <w:rFonts w:hint="eastAsia" w:ascii="宋体" w:hAnsi="宋体" w:cs="宋体"/>
                <w:kern w:val="0"/>
                <w:sz w:val="21"/>
                <w:szCs w:val="21"/>
              </w:rPr>
            </w:pPr>
          </w:p>
        </w:tc>
      </w:tr>
      <w:tr w14:paraId="24E7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17" w:type="pct"/>
            <w:vMerge w:val="restart"/>
            <w:vAlign w:val="center"/>
          </w:tcPr>
          <w:p w14:paraId="782C97CC">
            <w:pPr>
              <w:pStyle w:val="30"/>
              <w:numPr>
                <w:ilvl w:val="0"/>
                <w:numId w:val="0"/>
              </w:numPr>
              <w:spacing w:line="400" w:lineRule="exact"/>
              <w:ind w:left="0" w:leftChars="0" w:firstLine="0" w:firstLineChars="0"/>
              <w:rPr>
                <w:rFonts w:hint="eastAsia" w:ascii="宋体" w:hAnsi="宋体" w:eastAsia="宋体" w:cs="宋体"/>
                <w:b/>
                <w:bCs/>
                <w:kern w:val="0"/>
                <w:sz w:val="21"/>
                <w:szCs w:val="21"/>
              </w:rPr>
            </w:pPr>
            <w:r>
              <w:rPr>
                <w:rFonts w:hint="default" w:ascii="宋体" w:hAnsi="宋体" w:eastAsia="宋体" w:cs="宋体"/>
                <w:b/>
                <w:bCs/>
                <w:kern w:val="0"/>
                <w:sz w:val="21"/>
                <w:szCs w:val="21"/>
                <w:lang w:val="en-US" w:eastAsia="zh-CN" w:bidi="ar-SA"/>
              </w:rPr>
              <w:t>7.</w:t>
            </w:r>
            <w:r>
              <w:rPr>
                <w:rFonts w:hint="eastAsia" w:cs="宋体" w:asciiTheme="minorEastAsia" w:hAnsiTheme="minorEastAsia"/>
                <w:b/>
                <w:bCs/>
                <w:kern w:val="0"/>
                <w:sz w:val="21"/>
                <w:szCs w:val="21"/>
              </w:rPr>
              <w:t>住院医生端病历质控助手</w:t>
            </w:r>
          </w:p>
        </w:tc>
        <w:tc>
          <w:tcPr>
            <w:tcW w:w="592" w:type="pct"/>
            <w:vAlign w:val="center"/>
          </w:tcPr>
          <w:p w14:paraId="61C853C2">
            <w:pPr>
              <w:spacing w:line="400" w:lineRule="exact"/>
              <w:jc w:val="center"/>
              <w:rPr>
                <w:rFonts w:hint="eastAsia" w:ascii="宋体" w:hAnsi="宋体" w:cs="楷体"/>
                <w:sz w:val="21"/>
                <w:szCs w:val="21"/>
              </w:rPr>
            </w:pPr>
            <w:r>
              <w:rPr>
                <w:rFonts w:hint="eastAsia" w:ascii="宋体" w:hAnsi="宋体" w:cs="楷体"/>
                <w:sz w:val="21"/>
                <w:szCs w:val="21"/>
              </w:rPr>
              <w:t>罕见病筛查</w:t>
            </w:r>
          </w:p>
        </w:tc>
        <w:tc>
          <w:tcPr>
            <w:tcW w:w="2432" w:type="pct"/>
            <w:vAlign w:val="center"/>
          </w:tcPr>
          <w:p w14:paraId="5D4233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病种覆盖至少一个罕见病，例如非典型溶血尿毒综合征。支持基于患者数据筛选，帮助医生快速识别特定患病风险的群体。支持医生端展示风险预警结果，一键溯源查看病历原文。</w:t>
            </w:r>
          </w:p>
        </w:tc>
        <w:tc>
          <w:tcPr>
            <w:tcW w:w="711" w:type="pct"/>
            <w:vAlign w:val="center"/>
          </w:tcPr>
          <w:p w14:paraId="2DFAE3B4">
            <w:pPr>
              <w:spacing w:line="312" w:lineRule="auto"/>
              <w:jc w:val="left"/>
              <w:rPr>
                <w:rFonts w:hint="eastAsia" w:ascii="宋体" w:hAnsi="宋体" w:cs="宋体"/>
                <w:sz w:val="21"/>
                <w:szCs w:val="21"/>
              </w:rPr>
            </w:pPr>
          </w:p>
        </w:tc>
        <w:tc>
          <w:tcPr>
            <w:tcW w:w="545" w:type="pct"/>
            <w:vAlign w:val="center"/>
          </w:tcPr>
          <w:p w14:paraId="0DD85491">
            <w:pPr>
              <w:spacing w:line="312" w:lineRule="auto"/>
              <w:jc w:val="left"/>
              <w:rPr>
                <w:rFonts w:hint="eastAsia" w:ascii="宋体" w:hAnsi="宋体" w:cs="宋体"/>
                <w:sz w:val="21"/>
                <w:szCs w:val="21"/>
              </w:rPr>
            </w:pPr>
          </w:p>
        </w:tc>
      </w:tr>
      <w:tr w14:paraId="50E7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553DCCD">
            <w:pPr>
              <w:pStyle w:val="30"/>
              <w:numPr>
                <w:ilvl w:val="0"/>
                <w:numId w:val="1"/>
              </w:numPr>
              <w:spacing w:line="400" w:lineRule="exact"/>
              <w:ind w:firstLineChars="0"/>
              <w:jc w:val="left"/>
              <w:rPr>
                <w:rFonts w:hint="eastAsia" w:ascii="宋体" w:hAnsi="宋体" w:eastAsia="宋体" w:cs="宋体"/>
                <w:kern w:val="0"/>
                <w:sz w:val="21"/>
                <w:szCs w:val="21"/>
              </w:rPr>
            </w:pPr>
          </w:p>
        </w:tc>
        <w:tc>
          <w:tcPr>
            <w:tcW w:w="592" w:type="pct"/>
            <w:vAlign w:val="center"/>
          </w:tcPr>
          <w:p w14:paraId="1D4A7C97">
            <w:pPr>
              <w:spacing w:line="400" w:lineRule="exact"/>
              <w:jc w:val="center"/>
              <w:rPr>
                <w:rFonts w:hint="eastAsia" w:ascii="宋体" w:hAnsi="宋体" w:cs="宋体"/>
                <w:kern w:val="0"/>
                <w:sz w:val="21"/>
                <w:szCs w:val="21"/>
              </w:rPr>
            </w:pPr>
            <w:r>
              <w:rPr>
                <w:rFonts w:hint="eastAsia" w:ascii="宋体" w:hAnsi="宋体" w:cs="宋体"/>
                <w:kern w:val="0"/>
                <w:sz w:val="21"/>
                <w:szCs w:val="21"/>
              </w:rPr>
              <w:t>实时提醒</w:t>
            </w:r>
          </w:p>
        </w:tc>
        <w:tc>
          <w:tcPr>
            <w:tcW w:w="2432" w:type="pct"/>
            <w:vAlign w:val="center"/>
          </w:tcPr>
          <w:p w14:paraId="4D9A77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当医生在电子病历系统编辑病历点击保存，即刻以插件形式提供实时质控提醒。无需进入单独的病历质控程序就可查看实时质控内容。</w:t>
            </w:r>
          </w:p>
        </w:tc>
        <w:tc>
          <w:tcPr>
            <w:tcW w:w="711" w:type="pct"/>
            <w:vAlign w:val="center"/>
          </w:tcPr>
          <w:p w14:paraId="51E052F2">
            <w:pPr>
              <w:spacing w:line="400" w:lineRule="exact"/>
              <w:jc w:val="left"/>
              <w:rPr>
                <w:rFonts w:hint="eastAsia" w:ascii="宋体" w:hAnsi="宋体" w:cs="宋体"/>
                <w:kern w:val="0"/>
                <w:sz w:val="21"/>
                <w:szCs w:val="21"/>
              </w:rPr>
            </w:pPr>
          </w:p>
        </w:tc>
        <w:tc>
          <w:tcPr>
            <w:tcW w:w="545" w:type="pct"/>
            <w:vAlign w:val="center"/>
          </w:tcPr>
          <w:p w14:paraId="338F5A74">
            <w:pPr>
              <w:spacing w:line="400" w:lineRule="exact"/>
              <w:jc w:val="left"/>
              <w:rPr>
                <w:rFonts w:hint="eastAsia" w:ascii="宋体" w:hAnsi="宋体" w:cs="宋体"/>
                <w:kern w:val="0"/>
                <w:sz w:val="21"/>
                <w:szCs w:val="21"/>
              </w:rPr>
            </w:pPr>
          </w:p>
        </w:tc>
      </w:tr>
      <w:tr w14:paraId="6315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B64FE80">
            <w:pPr>
              <w:spacing w:line="400" w:lineRule="exact"/>
              <w:jc w:val="left"/>
              <w:rPr>
                <w:rFonts w:hint="eastAsia" w:ascii="宋体" w:hAnsi="宋体" w:cs="宋体"/>
                <w:kern w:val="0"/>
                <w:sz w:val="21"/>
                <w:szCs w:val="21"/>
              </w:rPr>
            </w:pPr>
          </w:p>
        </w:tc>
        <w:tc>
          <w:tcPr>
            <w:tcW w:w="592" w:type="pct"/>
            <w:vAlign w:val="center"/>
          </w:tcPr>
          <w:p w14:paraId="5C844486">
            <w:pPr>
              <w:spacing w:line="400" w:lineRule="exact"/>
              <w:jc w:val="center"/>
              <w:rPr>
                <w:rFonts w:hint="eastAsia" w:ascii="宋体" w:hAnsi="宋体" w:cs="宋体"/>
                <w:kern w:val="0"/>
                <w:sz w:val="21"/>
                <w:szCs w:val="21"/>
              </w:rPr>
            </w:pPr>
            <w:r>
              <w:rPr>
                <w:rFonts w:hint="eastAsia" w:ascii="宋体" w:hAnsi="宋体" w:cs="宋体"/>
                <w:kern w:val="0"/>
                <w:sz w:val="21"/>
                <w:szCs w:val="21"/>
              </w:rPr>
              <w:t>小图标提醒</w:t>
            </w:r>
          </w:p>
        </w:tc>
        <w:tc>
          <w:tcPr>
            <w:tcW w:w="2432" w:type="pct"/>
            <w:vAlign w:val="center"/>
          </w:tcPr>
          <w:p w14:paraId="5945A2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实时展示病历问题数，点击小图标可以打开浮窗查看更详细的质控结果信息。</w:t>
            </w:r>
          </w:p>
        </w:tc>
        <w:tc>
          <w:tcPr>
            <w:tcW w:w="711" w:type="pct"/>
            <w:vAlign w:val="center"/>
          </w:tcPr>
          <w:p w14:paraId="2C6E1CE7">
            <w:pPr>
              <w:spacing w:line="400" w:lineRule="exact"/>
              <w:jc w:val="left"/>
              <w:rPr>
                <w:rFonts w:hint="eastAsia" w:ascii="宋体" w:hAnsi="宋体" w:cs="宋体"/>
                <w:kern w:val="0"/>
                <w:sz w:val="21"/>
                <w:szCs w:val="21"/>
              </w:rPr>
            </w:pPr>
          </w:p>
        </w:tc>
        <w:tc>
          <w:tcPr>
            <w:tcW w:w="545" w:type="pct"/>
            <w:vAlign w:val="center"/>
          </w:tcPr>
          <w:p w14:paraId="1FBE9A22">
            <w:pPr>
              <w:spacing w:line="400" w:lineRule="exact"/>
              <w:jc w:val="left"/>
              <w:rPr>
                <w:rFonts w:hint="eastAsia" w:ascii="宋体" w:hAnsi="宋体" w:cs="宋体"/>
                <w:kern w:val="0"/>
                <w:sz w:val="21"/>
                <w:szCs w:val="21"/>
              </w:rPr>
            </w:pPr>
          </w:p>
        </w:tc>
      </w:tr>
      <w:tr w14:paraId="355C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79EB0BC">
            <w:pPr>
              <w:spacing w:line="400" w:lineRule="exact"/>
              <w:jc w:val="left"/>
              <w:rPr>
                <w:rFonts w:hint="eastAsia" w:ascii="宋体" w:hAnsi="宋体" w:cs="宋体"/>
                <w:kern w:val="0"/>
                <w:sz w:val="21"/>
                <w:szCs w:val="21"/>
              </w:rPr>
            </w:pPr>
          </w:p>
        </w:tc>
        <w:tc>
          <w:tcPr>
            <w:tcW w:w="592" w:type="pct"/>
            <w:vMerge w:val="restart"/>
            <w:vAlign w:val="center"/>
          </w:tcPr>
          <w:p w14:paraId="1DEF0F64">
            <w:pPr>
              <w:spacing w:line="400" w:lineRule="exact"/>
              <w:jc w:val="center"/>
              <w:rPr>
                <w:rFonts w:hint="eastAsia" w:ascii="宋体" w:hAnsi="宋体" w:cs="宋体"/>
                <w:kern w:val="0"/>
                <w:sz w:val="21"/>
                <w:szCs w:val="21"/>
              </w:rPr>
            </w:pPr>
            <w:r>
              <w:rPr>
                <w:rFonts w:hint="eastAsia" w:ascii="宋体" w:hAnsi="宋体" w:cs="宋体"/>
                <w:kern w:val="0"/>
                <w:sz w:val="21"/>
                <w:szCs w:val="21"/>
              </w:rPr>
              <w:t>浮窗提醒</w:t>
            </w:r>
          </w:p>
        </w:tc>
        <w:tc>
          <w:tcPr>
            <w:tcW w:w="2432" w:type="pct"/>
            <w:vAlign w:val="center"/>
          </w:tcPr>
          <w:p w14:paraId="772E22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可以根据配置的评分表展示病历分数与等级，支持点击分数根据医生权限查看详细的评分表信息。</w:t>
            </w:r>
          </w:p>
        </w:tc>
        <w:tc>
          <w:tcPr>
            <w:tcW w:w="711" w:type="pct"/>
            <w:vAlign w:val="center"/>
          </w:tcPr>
          <w:p w14:paraId="024DA0A6">
            <w:pPr>
              <w:spacing w:line="400" w:lineRule="exact"/>
              <w:jc w:val="left"/>
              <w:rPr>
                <w:rFonts w:hint="eastAsia" w:ascii="宋体" w:hAnsi="宋体" w:cs="宋体"/>
                <w:kern w:val="0"/>
                <w:sz w:val="21"/>
                <w:szCs w:val="21"/>
              </w:rPr>
            </w:pPr>
          </w:p>
        </w:tc>
        <w:tc>
          <w:tcPr>
            <w:tcW w:w="545" w:type="pct"/>
            <w:vAlign w:val="center"/>
          </w:tcPr>
          <w:p w14:paraId="4467EA81">
            <w:pPr>
              <w:spacing w:line="400" w:lineRule="exact"/>
              <w:jc w:val="left"/>
              <w:rPr>
                <w:rFonts w:hint="eastAsia" w:ascii="宋体" w:hAnsi="宋体" w:cs="宋体"/>
                <w:kern w:val="0"/>
                <w:sz w:val="21"/>
                <w:szCs w:val="21"/>
              </w:rPr>
            </w:pPr>
          </w:p>
        </w:tc>
      </w:tr>
      <w:tr w14:paraId="55A9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671F6C3">
            <w:pPr>
              <w:spacing w:line="400" w:lineRule="exact"/>
              <w:jc w:val="left"/>
              <w:rPr>
                <w:rFonts w:hint="eastAsia" w:ascii="宋体" w:hAnsi="宋体" w:cs="宋体"/>
                <w:kern w:val="0"/>
                <w:sz w:val="21"/>
                <w:szCs w:val="21"/>
              </w:rPr>
            </w:pPr>
          </w:p>
        </w:tc>
        <w:tc>
          <w:tcPr>
            <w:tcW w:w="592" w:type="pct"/>
            <w:vMerge w:val="continue"/>
            <w:vAlign w:val="center"/>
          </w:tcPr>
          <w:p w14:paraId="0D14995E">
            <w:pPr>
              <w:spacing w:line="400" w:lineRule="exact"/>
              <w:jc w:val="left"/>
              <w:rPr>
                <w:rFonts w:hint="eastAsia" w:ascii="宋体" w:hAnsi="宋体" w:cs="宋体"/>
                <w:kern w:val="0"/>
                <w:sz w:val="21"/>
                <w:szCs w:val="21"/>
              </w:rPr>
            </w:pPr>
          </w:p>
        </w:tc>
        <w:tc>
          <w:tcPr>
            <w:tcW w:w="2432" w:type="pct"/>
            <w:vAlign w:val="center"/>
          </w:tcPr>
          <w:p w14:paraId="6A4C6E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医生查看不同质控级别质控员对同一份病历的历次“人工评价单”结果，医生可对人工评价单结果进行查收和确定。每个人工评价单，需展示包括创建任务、机器质控、人工审核、评价单下发、科室查收、医生确定、任务关闭 的 人工质控闭环流程。同时支持根据医院流程进行定制化配置。</w:t>
            </w:r>
          </w:p>
        </w:tc>
        <w:tc>
          <w:tcPr>
            <w:tcW w:w="711" w:type="pct"/>
            <w:vAlign w:val="center"/>
          </w:tcPr>
          <w:p w14:paraId="2034155E">
            <w:pPr>
              <w:spacing w:line="400" w:lineRule="exact"/>
              <w:jc w:val="left"/>
              <w:rPr>
                <w:rFonts w:hint="eastAsia" w:ascii="宋体" w:hAnsi="宋体"/>
                <w:sz w:val="21"/>
                <w:szCs w:val="21"/>
              </w:rPr>
            </w:pPr>
          </w:p>
        </w:tc>
        <w:tc>
          <w:tcPr>
            <w:tcW w:w="545" w:type="pct"/>
            <w:vAlign w:val="center"/>
          </w:tcPr>
          <w:p w14:paraId="0271C649">
            <w:pPr>
              <w:spacing w:line="400" w:lineRule="exact"/>
              <w:jc w:val="left"/>
              <w:rPr>
                <w:rFonts w:hint="eastAsia" w:ascii="宋体" w:hAnsi="宋体"/>
                <w:sz w:val="21"/>
                <w:szCs w:val="21"/>
              </w:rPr>
            </w:pPr>
          </w:p>
        </w:tc>
      </w:tr>
      <w:tr w14:paraId="390D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27050E1">
            <w:pPr>
              <w:spacing w:line="400" w:lineRule="exact"/>
              <w:jc w:val="left"/>
              <w:rPr>
                <w:rFonts w:hint="eastAsia" w:ascii="宋体" w:hAnsi="宋体" w:cs="宋体"/>
                <w:kern w:val="0"/>
                <w:sz w:val="21"/>
                <w:szCs w:val="21"/>
              </w:rPr>
            </w:pPr>
          </w:p>
        </w:tc>
        <w:tc>
          <w:tcPr>
            <w:tcW w:w="592" w:type="pct"/>
            <w:vMerge w:val="continue"/>
            <w:vAlign w:val="center"/>
          </w:tcPr>
          <w:p w14:paraId="59DBC085">
            <w:pPr>
              <w:spacing w:line="400" w:lineRule="exact"/>
              <w:jc w:val="left"/>
              <w:rPr>
                <w:rFonts w:hint="eastAsia" w:ascii="宋体" w:hAnsi="宋体" w:cs="宋体"/>
                <w:kern w:val="0"/>
                <w:sz w:val="21"/>
                <w:szCs w:val="21"/>
              </w:rPr>
            </w:pPr>
          </w:p>
        </w:tc>
        <w:tc>
          <w:tcPr>
            <w:tcW w:w="2432" w:type="pct"/>
            <w:vAlign w:val="center"/>
          </w:tcPr>
          <w:p w14:paraId="5E75A7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展示问题汇总数量；分类展示各个文书的问题数量，包含：入院记录、首次病程记录、病程记录、谈话记录、手术管理、出院记录等模块。</w:t>
            </w:r>
          </w:p>
        </w:tc>
        <w:tc>
          <w:tcPr>
            <w:tcW w:w="711" w:type="pct"/>
            <w:vAlign w:val="center"/>
          </w:tcPr>
          <w:p w14:paraId="4C72C48F">
            <w:pPr>
              <w:spacing w:line="400" w:lineRule="exact"/>
              <w:jc w:val="left"/>
              <w:rPr>
                <w:rFonts w:hint="eastAsia" w:ascii="宋体" w:hAnsi="宋体" w:cs="宋体"/>
                <w:kern w:val="0"/>
                <w:sz w:val="21"/>
                <w:szCs w:val="21"/>
              </w:rPr>
            </w:pPr>
          </w:p>
        </w:tc>
        <w:tc>
          <w:tcPr>
            <w:tcW w:w="545" w:type="pct"/>
            <w:vAlign w:val="center"/>
          </w:tcPr>
          <w:p w14:paraId="57101A61">
            <w:pPr>
              <w:spacing w:line="400" w:lineRule="exact"/>
              <w:jc w:val="left"/>
              <w:rPr>
                <w:rFonts w:hint="eastAsia" w:ascii="宋体" w:hAnsi="宋体" w:cs="宋体"/>
                <w:kern w:val="0"/>
                <w:sz w:val="21"/>
                <w:szCs w:val="21"/>
              </w:rPr>
            </w:pPr>
          </w:p>
        </w:tc>
      </w:tr>
      <w:tr w14:paraId="59CE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7" w:type="pct"/>
            <w:vMerge w:val="continue"/>
            <w:vAlign w:val="center"/>
          </w:tcPr>
          <w:p w14:paraId="1CCC673C">
            <w:pPr>
              <w:spacing w:line="400" w:lineRule="exact"/>
              <w:jc w:val="left"/>
              <w:rPr>
                <w:rFonts w:hint="eastAsia" w:ascii="宋体" w:hAnsi="宋体" w:cs="宋体"/>
                <w:kern w:val="0"/>
                <w:sz w:val="21"/>
                <w:szCs w:val="21"/>
              </w:rPr>
            </w:pPr>
          </w:p>
        </w:tc>
        <w:tc>
          <w:tcPr>
            <w:tcW w:w="592" w:type="pct"/>
            <w:vMerge w:val="continue"/>
            <w:vAlign w:val="center"/>
          </w:tcPr>
          <w:p w14:paraId="68A137EB">
            <w:pPr>
              <w:spacing w:line="400" w:lineRule="exact"/>
              <w:jc w:val="left"/>
              <w:rPr>
                <w:rFonts w:hint="eastAsia" w:ascii="宋体" w:hAnsi="宋体" w:cs="宋体"/>
                <w:kern w:val="0"/>
                <w:sz w:val="21"/>
                <w:szCs w:val="21"/>
              </w:rPr>
            </w:pPr>
          </w:p>
        </w:tc>
        <w:tc>
          <w:tcPr>
            <w:tcW w:w="2432" w:type="pct"/>
            <w:vAlign w:val="center"/>
          </w:tcPr>
          <w:p w14:paraId="0BEB2B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可展示登录医生的待反馈问题总数、人工评价单总数；点击可查看详细的列表。</w:t>
            </w:r>
          </w:p>
        </w:tc>
        <w:tc>
          <w:tcPr>
            <w:tcW w:w="711" w:type="pct"/>
            <w:vAlign w:val="center"/>
          </w:tcPr>
          <w:p w14:paraId="67E62DDA">
            <w:pPr>
              <w:spacing w:line="400" w:lineRule="exact"/>
              <w:jc w:val="left"/>
              <w:rPr>
                <w:rFonts w:hint="eastAsia" w:ascii="宋体" w:hAnsi="宋体" w:cs="宋体"/>
                <w:kern w:val="0"/>
                <w:sz w:val="21"/>
                <w:szCs w:val="21"/>
              </w:rPr>
            </w:pPr>
          </w:p>
        </w:tc>
        <w:tc>
          <w:tcPr>
            <w:tcW w:w="545" w:type="pct"/>
            <w:vAlign w:val="center"/>
          </w:tcPr>
          <w:p w14:paraId="5A5A064D">
            <w:pPr>
              <w:spacing w:line="400" w:lineRule="exact"/>
              <w:jc w:val="left"/>
              <w:rPr>
                <w:rFonts w:hint="eastAsia" w:ascii="宋体" w:hAnsi="宋体" w:cs="宋体"/>
                <w:kern w:val="0"/>
                <w:sz w:val="21"/>
                <w:szCs w:val="21"/>
              </w:rPr>
            </w:pPr>
          </w:p>
        </w:tc>
      </w:tr>
      <w:tr w14:paraId="507D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717" w:type="pct"/>
            <w:vMerge w:val="continue"/>
            <w:vAlign w:val="center"/>
          </w:tcPr>
          <w:p w14:paraId="161B13CB">
            <w:pPr>
              <w:spacing w:line="400" w:lineRule="exact"/>
              <w:jc w:val="left"/>
              <w:rPr>
                <w:rFonts w:hint="eastAsia" w:ascii="宋体" w:hAnsi="宋体" w:cs="宋体"/>
                <w:kern w:val="0"/>
                <w:sz w:val="21"/>
                <w:szCs w:val="21"/>
              </w:rPr>
            </w:pPr>
          </w:p>
        </w:tc>
        <w:tc>
          <w:tcPr>
            <w:tcW w:w="592" w:type="pct"/>
            <w:vMerge w:val="restart"/>
            <w:vAlign w:val="center"/>
          </w:tcPr>
          <w:p w14:paraId="27D2FD02">
            <w:pPr>
              <w:spacing w:line="400" w:lineRule="exact"/>
              <w:jc w:val="center"/>
              <w:rPr>
                <w:rFonts w:hint="eastAsia" w:ascii="宋体" w:hAnsi="宋体" w:cs="宋体"/>
                <w:kern w:val="0"/>
                <w:sz w:val="21"/>
                <w:szCs w:val="21"/>
              </w:rPr>
            </w:pPr>
            <w:r>
              <w:rPr>
                <w:rFonts w:hint="eastAsia" w:ascii="宋体" w:hAnsi="宋体" w:cs="宋体"/>
                <w:kern w:val="0"/>
                <w:sz w:val="21"/>
                <w:szCs w:val="21"/>
              </w:rPr>
              <w:t>质控明细</w:t>
            </w:r>
          </w:p>
        </w:tc>
        <w:tc>
          <w:tcPr>
            <w:tcW w:w="2432" w:type="pct"/>
            <w:vAlign w:val="center"/>
          </w:tcPr>
          <w:p w14:paraId="6440FA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1、评分表</w:t>
            </w:r>
          </w:p>
          <w:p w14:paraId="2BCEA4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（1）可直观展示当前病历的病历等级（甲/乙/丙）、病历得分、运行病历评分表/总体病历评分表及扣分详情；</w:t>
            </w:r>
          </w:p>
          <w:p w14:paraId="317959C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（2）可根据登录his的医生账号来判定是否具有审核权限</w:t>
            </w:r>
            <w:r>
              <w:rPr>
                <w:rFonts w:hint="eastAsia" w:asciiTheme="minorEastAsia" w:hAnsiTheme="minorEastAsia" w:eastAsiaTheme="minorEastAsia" w:cstheme="minorEastAsia"/>
                <w:sz w:val="21"/>
                <w:szCs w:val="21"/>
                <w:lang w:eastAsia="zh-CN"/>
              </w:rPr>
              <w:t>：</w:t>
            </w:r>
          </w:p>
          <w:p w14:paraId="1775D7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1）有权限：可以在提醒端进行评分表明细查看与问题审核，进行人工评分；</w:t>
            </w:r>
          </w:p>
          <w:p w14:paraId="1EE66E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2）无权限：可查看整张表的打分情况与扣分理由</w:t>
            </w:r>
          </w:p>
        </w:tc>
        <w:tc>
          <w:tcPr>
            <w:tcW w:w="711" w:type="pct"/>
            <w:vAlign w:val="center"/>
          </w:tcPr>
          <w:p w14:paraId="0E7E1F88">
            <w:pPr>
              <w:spacing w:line="400" w:lineRule="exact"/>
              <w:jc w:val="left"/>
              <w:rPr>
                <w:rFonts w:hint="eastAsia" w:ascii="宋体" w:hAnsi="宋体" w:cs="宋体"/>
                <w:kern w:val="0"/>
                <w:sz w:val="21"/>
                <w:szCs w:val="21"/>
              </w:rPr>
            </w:pPr>
          </w:p>
        </w:tc>
        <w:tc>
          <w:tcPr>
            <w:tcW w:w="545" w:type="pct"/>
            <w:vAlign w:val="center"/>
          </w:tcPr>
          <w:p w14:paraId="26682671">
            <w:pPr>
              <w:spacing w:line="400" w:lineRule="exact"/>
              <w:jc w:val="left"/>
              <w:rPr>
                <w:rFonts w:hint="eastAsia" w:ascii="宋体" w:hAnsi="宋体" w:cs="宋体"/>
                <w:kern w:val="0"/>
                <w:sz w:val="21"/>
                <w:szCs w:val="21"/>
              </w:rPr>
            </w:pPr>
          </w:p>
        </w:tc>
      </w:tr>
      <w:tr w14:paraId="0542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0" w:hRule="atLeast"/>
          <w:jc w:val="center"/>
        </w:trPr>
        <w:tc>
          <w:tcPr>
            <w:tcW w:w="717" w:type="pct"/>
            <w:vMerge w:val="continue"/>
            <w:vAlign w:val="center"/>
          </w:tcPr>
          <w:p w14:paraId="6A23318A">
            <w:pPr>
              <w:spacing w:line="400" w:lineRule="exact"/>
              <w:jc w:val="left"/>
              <w:rPr>
                <w:rFonts w:hint="eastAsia" w:ascii="宋体" w:hAnsi="宋体" w:cs="宋体"/>
                <w:kern w:val="0"/>
                <w:sz w:val="21"/>
                <w:szCs w:val="21"/>
              </w:rPr>
            </w:pPr>
          </w:p>
        </w:tc>
        <w:tc>
          <w:tcPr>
            <w:tcW w:w="592" w:type="pct"/>
            <w:vMerge w:val="continue"/>
            <w:vAlign w:val="center"/>
          </w:tcPr>
          <w:p w14:paraId="63305D23">
            <w:pPr>
              <w:spacing w:line="400" w:lineRule="exact"/>
              <w:jc w:val="left"/>
              <w:rPr>
                <w:rFonts w:hint="eastAsia" w:ascii="宋体" w:hAnsi="宋体" w:cs="宋体"/>
                <w:kern w:val="0"/>
                <w:sz w:val="21"/>
                <w:szCs w:val="21"/>
              </w:rPr>
            </w:pPr>
          </w:p>
        </w:tc>
        <w:tc>
          <w:tcPr>
            <w:tcW w:w="2432" w:type="pct"/>
            <w:vAlign w:val="center"/>
          </w:tcPr>
          <w:p w14:paraId="5171F8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2、质控点</w:t>
            </w:r>
          </w:p>
          <w:p w14:paraId="1C452F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（1）可根据文书分类展示，展示质控点名称、质控类型（机器/人工）、备注、扣分；</w:t>
            </w:r>
          </w:p>
          <w:p w14:paraId="253A92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▲（2）可对系统质控情况及人工质控的批注进行申诉，申诉的问题会实时展示在审核端，审核人员可对申诉信息进行再反馈，再反馈信息实时同步至医生端。</w:t>
            </w:r>
          </w:p>
          <w:p w14:paraId="531590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3）单项否决质控点重点提示：系统能够支持对病历文书的单项否决进行判断并提醒，当存在单项否决缺陷时，系统应实时、主动提醒医生相关质控缺陷，并用特殊符号进行重点标注，在医生修正缺陷内容后，单项否决提示实时消失。支持医院对每条质控点是否属于“单向否决缺陷”进行自主配置。</w:t>
            </w:r>
          </w:p>
        </w:tc>
        <w:tc>
          <w:tcPr>
            <w:tcW w:w="711" w:type="pct"/>
            <w:vAlign w:val="center"/>
          </w:tcPr>
          <w:p w14:paraId="1A9769B5">
            <w:pPr>
              <w:spacing w:line="400" w:lineRule="exact"/>
              <w:jc w:val="left"/>
              <w:rPr>
                <w:rFonts w:hint="eastAsia" w:ascii="宋体" w:hAnsi="宋体" w:cs="宋体"/>
                <w:kern w:val="0"/>
                <w:sz w:val="21"/>
                <w:szCs w:val="21"/>
              </w:rPr>
            </w:pPr>
          </w:p>
        </w:tc>
        <w:tc>
          <w:tcPr>
            <w:tcW w:w="545" w:type="pct"/>
            <w:vAlign w:val="center"/>
          </w:tcPr>
          <w:p w14:paraId="4AE3B622">
            <w:pPr>
              <w:spacing w:line="400" w:lineRule="exact"/>
              <w:jc w:val="left"/>
              <w:rPr>
                <w:rFonts w:hint="eastAsia" w:ascii="宋体" w:hAnsi="宋体" w:cs="宋体"/>
                <w:kern w:val="0"/>
                <w:sz w:val="21"/>
                <w:szCs w:val="21"/>
              </w:rPr>
            </w:pPr>
          </w:p>
        </w:tc>
      </w:tr>
      <w:tr w14:paraId="65C3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9C87567">
            <w:pPr>
              <w:spacing w:line="400" w:lineRule="exact"/>
              <w:jc w:val="left"/>
              <w:rPr>
                <w:rFonts w:hint="eastAsia" w:ascii="宋体" w:hAnsi="宋体" w:cs="宋体"/>
                <w:kern w:val="0"/>
                <w:sz w:val="21"/>
                <w:szCs w:val="21"/>
              </w:rPr>
            </w:pPr>
          </w:p>
        </w:tc>
        <w:tc>
          <w:tcPr>
            <w:tcW w:w="592" w:type="pct"/>
            <w:vMerge w:val="continue"/>
            <w:vAlign w:val="center"/>
          </w:tcPr>
          <w:p w14:paraId="3A4C9D9A">
            <w:pPr>
              <w:spacing w:line="400" w:lineRule="exact"/>
              <w:jc w:val="left"/>
              <w:rPr>
                <w:rFonts w:hint="eastAsia" w:ascii="宋体" w:hAnsi="宋体" w:cs="宋体"/>
                <w:kern w:val="0"/>
                <w:sz w:val="21"/>
                <w:szCs w:val="21"/>
              </w:rPr>
            </w:pPr>
          </w:p>
        </w:tc>
        <w:tc>
          <w:tcPr>
            <w:tcW w:w="2432" w:type="pct"/>
            <w:vAlign w:val="center"/>
          </w:tcPr>
          <w:p w14:paraId="2846E4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 3、人工评价单列表：支持查看医生权限下的所有质控员人工质控审核过的评价单数量及列表，包括待查收、待确认、已经确定的评价单列表明细，并支持下钻；支持单击 “全部查收”按钮，对当前未查看的评价进行一键查收。</w:t>
            </w:r>
          </w:p>
        </w:tc>
        <w:tc>
          <w:tcPr>
            <w:tcW w:w="711" w:type="pct"/>
            <w:vAlign w:val="center"/>
          </w:tcPr>
          <w:p w14:paraId="0ED99B75">
            <w:pPr>
              <w:spacing w:line="400" w:lineRule="exact"/>
              <w:jc w:val="left"/>
              <w:rPr>
                <w:rFonts w:hint="eastAsia" w:ascii="宋体" w:hAnsi="宋体" w:cs="宋体"/>
                <w:kern w:val="0"/>
                <w:sz w:val="21"/>
                <w:szCs w:val="21"/>
              </w:rPr>
            </w:pPr>
          </w:p>
        </w:tc>
        <w:tc>
          <w:tcPr>
            <w:tcW w:w="545" w:type="pct"/>
            <w:vAlign w:val="center"/>
          </w:tcPr>
          <w:p w14:paraId="676B73F8">
            <w:pPr>
              <w:spacing w:line="400" w:lineRule="exact"/>
              <w:jc w:val="left"/>
              <w:rPr>
                <w:rFonts w:hint="eastAsia" w:ascii="宋体" w:hAnsi="宋体" w:cs="宋体"/>
                <w:kern w:val="0"/>
                <w:sz w:val="21"/>
                <w:szCs w:val="21"/>
              </w:rPr>
            </w:pPr>
          </w:p>
        </w:tc>
      </w:tr>
      <w:tr w14:paraId="583E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66C060B">
            <w:pPr>
              <w:spacing w:line="400" w:lineRule="exact"/>
              <w:jc w:val="left"/>
              <w:rPr>
                <w:rFonts w:hint="eastAsia" w:ascii="宋体" w:hAnsi="宋体" w:cs="宋体"/>
                <w:kern w:val="0"/>
                <w:sz w:val="21"/>
                <w:szCs w:val="21"/>
              </w:rPr>
            </w:pPr>
          </w:p>
        </w:tc>
        <w:tc>
          <w:tcPr>
            <w:tcW w:w="592" w:type="pct"/>
            <w:vMerge w:val="continue"/>
            <w:vAlign w:val="center"/>
          </w:tcPr>
          <w:p w14:paraId="493094A9">
            <w:pPr>
              <w:spacing w:line="400" w:lineRule="exact"/>
              <w:jc w:val="left"/>
              <w:rPr>
                <w:rFonts w:hint="eastAsia" w:ascii="宋体" w:hAnsi="宋体" w:cs="宋体"/>
                <w:kern w:val="0"/>
                <w:sz w:val="21"/>
                <w:szCs w:val="21"/>
              </w:rPr>
            </w:pPr>
          </w:p>
        </w:tc>
        <w:tc>
          <w:tcPr>
            <w:tcW w:w="2432" w:type="pct"/>
            <w:vAlign w:val="center"/>
          </w:tcPr>
          <w:p w14:paraId="67C3E7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4、待反馈问题列表：支持查看医生权限下的所有待反馈问题数量及列表，包括人工质控待反馈列表、机器质控待反馈列表、待质控员确定列表、已确定的问题列表明细，并支持下钻。</w:t>
            </w:r>
          </w:p>
        </w:tc>
        <w:tc>
          <w:tcPr>
            <w:tcW w:w="711" w:type="pct"/>
            <w:vAlign w:val="center"/>
          </w:tcPr>
          <w:p w14:paraId="2E379641">
            <w:pPr>
              <w:spacing w:line="400" w:lineRule="exact"/>
              <w:jc w:val="left"/>
              <w:rPr>
                <w:rFonts w:ascii="宋体" w:hAnsi="宋体" w:cs="宋体"/>
                <w:kern w:val="0"/>
                <w:sz w:val="21"/>
                <w:szCs w:val="21"/>
              </w:rPr>
            </w:pPr>
          </w:p>
        </w:tc>
        <w:tc>
          <w:tcPr>
            <w:tcW w:w="545" w:type="pct"/>
            <w:vAlign w:val="center"/>
          </w:tcPr>
          <w:p w14:paraId="5D1F30D7">
            <w:pPr>
              <w:spacing w:line="400" w:lineRule="exact"/>
              <w:jc w:val="left"/>
              <w:rPr>
                <w:rFonts w:ascii="宋体" w:hAnsi="宋体" w:cs="宋体"/>
                <w:kern w:val="0"/>
                <w:sz w:val="21"/>
                <w:szCs w:val="21"/>
              </w:rPr>
            </w:pPr>
          </w:p>
        </w:tc>
      </w:tr>
      <w:tr w14:paraId="2413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47288CA6">
            <w:pPr>
              <w:pStyle w:val="30"/>
              <w:numPr>
                <w:ilvl w:val="0"/>
                <w:numId w:val="0"/>
              </w:numPr>
              <w:spacing w:line="400" w:lineRule="exact"/>
              <w:ind w:left="0" w:leftChars="0" w:firstLine="0" w:firstLineChars="0"/>
              <w:rPr>
                <w:rFonts w:hint="eastAsia" w:ascii="宋体" w:hAnsi="宋体" w:eastAsia="宋体" w:cs="宋体"/>
                <w:kern w:val="0"/>
                <w:sz w:val="21"/>
                <w:szCs w:val="21"/>
              </w:rPr>
            </w:pPr>
            <w:r>
              <w:rPr>
                <w:rFonts w:hint="default" w:ascii="宋体" w:hAnsi="宋体" w:eastAsia="宋体" w:cs="宋体"/>
                <w:b/>
                <w:bCs/>
                <w:kern w:val="0"/>
                <w:sz w:val="21"/>
                <w:szCs w:val="21"/>
                <w:lang w:val="en-US" w:eastAsia="zh-CN" w:bidi="ar-SA"/>
              </w:rPr>
              <w:t>8.</w:t>
            </w:r>
            <w:r>
              <w:rPr>
                <w:rFonts w:hint="eastAsia" w:cs="宋体" w:asciiTheme="minorEastAsia" w:hAnsiTheme="minorEastAsia"/>
                <w:b/>
                <w:bCs/>
                <w:kern w:val="0"/>
                <w:sz w:val="21"/>
                <w:szCs w:val="21"/>
              </w:rPr>
              <w:t>住院病历审核平台</w:t>
            </w:r>
          </w:p>
        </w:tc>
        <w:tc>
          <w:tcPr>
            <w:tcW w:w="592" w:type="pct"/>
            <w:vMerge w:val="restart"/>
            <w:vAlign w:val="center"/>
          </w:tcPr>
          <w:p w14:paraId="79A8A86C">
            <w:pPr>
              <w:spacing w:line="400" w:lineRule="exact"/>
              <w:jc w:val="center"/>
              <w:rPr>
                <w:rFonts w:hint="eastAsia" w:ascii="宋体" w:hAnsi="宋体" w:cs="宋体"/>
                <w:kern w:val="0"/>
                <w:sz w:val="21"/>
                <w:szCs w:val="21"/>
              </w:rPr>
            </w:pPr>
            <w:r>
              <w:rPr>
                <w:rFonts w:hint="eastAsia" w:ascii="宋体" w:hAnsi="宋体" w:cs="宋体"/>
                <w:kern w:val="0"/>
                <w:sz w:val="21"/>
                <w:szCs w:val="21"/>
              </w:rPr>
              <w:t>病历查询</w:t>
            </w:r>
          </w:p>
        </w:tc>
        <w:tc>
          <w:tcPr>
            <w:tcW w:w="2432" w:type="pct"/>
            <w:vAlign w:val="center"/>
          </w:tcPr>
          <w:p w14:paraId="56523B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1、支持运行病历/终末病历查询，并支持以患者列表、问题列表多维度展示。</w:t>
            </w:r>
          </w:p>
          <w:p w14:paraId="2BC3AE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（1）条件查询：支持按日期、科室、病历特征、质控文书、质控点标签、质控点类型、标签等条件查询运行病历/终末病历患者列表;</w:t>
            </w:r>
          </w:p>
          <w:p w14:paraId="0D0643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（2）精准查询：支持按病历号、病案号、患者姓名等对病历进行精准搜索。</w:t>
            </w:r>
          </w:p>
          <w:p w14:paraId="4459DF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3）支持自定义创建多个重点关注病历查询页面，每个查询页面可单独生成；支持通过多个搜索条件新增查询页面，搜索条件包括不仅限于入院日期、当前科室、病历特征、质控级别、病历等级、诊断类型、质控文书、质控点标签、病历得分等；支持设置是否在“工作台重点关注”栏展示。</w:t>
            </w:r>
          </w:p>
          <w:p w14:paraId="46E886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4）支持对病历列表的标题展示列是否展示、列宽宽度进行自定义配置，展示列包括不仅限于待质控员回复、待医生反馈、机器现存问题、质控医生、病历等级、病历得分、现存问题、质控状态、标签、病区、医疗组、主治医生等。</w:t>
            </w:r>
          </w:p>
          <w:p w14:paraId="618996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▲（5）支持对病历标签名称、标签描述进行自定义设置；支持为每份病历人工选择维护好的标签进行标注；支持通过标签快速检索病历。</w:t>
            </w:r>
          </w:p>
          <w:p w14:paraId="765740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▲（6）支持病历各文书时效性快速查看，包括文书完成状态、起始时间、截止时间、剩余时间、完成时间等，并对超时病历的“剩余时间”栏显示数据进行标红处理。</w:t>
            </w:r>
          </w:p>
        </w:tc>
        <w:tc>
          <w:tcPr>
            <w:tcW w:w="711" w:type="pct"/>
            <w:vAlign w:val="center"/>
          </w:tcPr>
          <w:p w14:paraId="06ABE0A1">
            <w:pPr>
              <w:spacing w:line="400" w:lineRule="exact"/>
              <w:jc w:val="left"/>
              <w:rPr>
                <w:rFonts w:hint="eastAsia" w:ascii="宋体" w:hAnsi="宋体" w:cs="宋体"/>
                <w:sz w:val="21"/>
                <w:szCs w:val="21"/>
              </w:rPr>
            </w:pPr>
          </w:p>
        </w:tc>
        <w:tc>
          <w:tcPr>
            <w:tcW w:w="545" w:type="pct"/>
            <w:vAlign w:val="center"/>
          </w:tcPr>
          <w:p w14:paraId="3B308DC6">
            <w:pPr>
              <w:spacing w:line="400" w:lineRule="exact"/>
              <w:jc w:val="left"/>
              <w:rPr>
                <w:rFonts w:hint="eastAsia" w:ascii="宋体" w:hAnsi="宋体" w:cs="宋体"/>
                <w:sz w:val="21"/>
                <w:szCs w:val="21"/>
              </w:rPr>
            </w:pPr>
          </w:p>
        </w:tc>
      </w:tr>
      <w:tr w14:paraId="2ADF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3E8ADAAA">
            <w:pPr>
              <w:spacing w:line="400" w:lineRule="exact"/>
              <w:jc w:val="left"/>
              <w:rPr>
                <w:rFonts w:hint="eastAsia" w:ascii="宋体" w:hAnsi="宋体" w:cs="宋体"/>
                <w:kern w:val="0"/>
                <w:sz w:val="21"/>
                <w:szCs w:val="21"/>
              </w:rPr>
            </w:pPr>
          </w:p>
        </w:tc>
        <w:tc>
          <w:tcPr>
            <w:tcW w:w="592" w:type="pct"/>
            <w:vMerge w:val="continue"/>
            <w:vAlign w:val="center"/>
          </w:tcPr>
          <w:p w14:paraId="6FF37FFA">
            <w:pPr>
              <w:spacing w:line="400" w:lineRule="exact"/>
              <w:jc w:val="left"/>
              <w:rPr>
                <w:rFonts w:hint="eastAsia" w:ascii="宋体" w:hAnsi="宋体" w:cs="宋体"/>
                <w:kern w:val="0"/>
                <w:sz w:val="21"/>
                <w:szCs w:val="21"/>
              </w:rPr>
            </w:pPr>
          </w:p>
        </w:tc>
        <w:tc>
          <w:tcPr>
            <w:tcW w:w="2432" w:type="pct"/>
            <w:vAlign w:val="center"/>
          </w:tcPr>
          <w:p w14:paraId="6B8179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2、支持病历查看：</w:t>
            </w:r>
          </w:p>
          <w:p w14:paraId="61306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（1）支持以不同颜色区分病历质控状态及问题数量，红色圆圈显示待质控员回复病历及问题数量、橙色圆圈显示待医生反馈病历及问题数量、绿色圆圈显示病历机器质控现存问题数量。</w:t>
            </w:r>
          </w:p>
          <w:p w14:paraId="1810C0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（2）支持对病历进行下钻，可查看病历质控详情，可按文书列表、评分表、质控闭环多个维度展示；</w:t>
            </w:r>
          </w:p>
          <w:p w14:paraId="55AF20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（3）文书列表：文书列表包括不仅限于：入院记录、病程记录、手术记录、出院/死亡记录、谈话记录、医嘱单、检验报告、检查报告、生命体征、病理报告、诊断记录。</w:t>
            </w:r>
          </w:p>
          <w:p w14:paraId="3A861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（4）评分表：支持根据医院配置的评分表内容，进行评分表展现。</w:t>
            </w:r>
          </w:p>
          <w:p w14:paraId="467D4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质控问题闭环：支持查看每个缺陷问题项目闭环流程，对机器/人工发现问题时间，是否进行修改与反馈，人工是否进行质控和确认均可进行留痕查看，并对整本病历的质控提交与审核等各个节点有时间轴记录时间轴。</w:t>
            </w:r>
          </w:p>
        </w:tc>
        <w:tc>
          <w:tcPr>
            <w:tcW w:w="711" w:type="pct"/>
            <w:vAlign w:val="center"/>
          </w:tcPr>
          <w:p w14:paraId="0747EC0C">
            <w:pPr>
              <w:spacing w:line="400" w:lineRule="exact"/>
              <w:jc w:val="left"/>
              <w:rPr>
                <w:rFonts w:hint="eastAsia" w:ascii="宋体" w:hAnsi="宋体" w:cs="宋体"/>
                <w:kern w:val="0"/>
                <w:sz w:val="21"/>
                <w:szCs w:val="21"/>
              </w:rPr>
            </w:pPr>
          </w:p>
        </w:tc>
        <w:tc>
          <w:tcPr>
            <w:tcW w:w="545" w:type="pct"/>
            <w:vAlign w:val="center"/>
          </w:tcPr>
          <w:p w14:paraId="1A6B20F9">
            <w:pPr>
              <w:spacing w:line="400" w:lineRule="exact"/>
              <w:jc w:val="left"/>
              <w:rPr>
                <w:rFonts w:hint="eastAsia" w:ascii="宋体" w:hAnsi="宋体" w:cs="宋体"/>
                <w:kern w:val="0"/>
                <w:sz w:val="21"/>
                <w:szCs w:val="21"/>
              </w:rPr>
            </w:pPr>
          </w:p>
        </w:tc>
      </w:tr>
      <w:tr w14:paraId="1C0F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jc w:val="center"/>
        </w:trPr>
        <w:tc>
          <w:tcPr>
            <w:tcW w:w="717" w:type="pct"/>
            <w:vMerge w:val="continue"/>
            <w:vAlign w:val="center"/>
          </w:tcPr>
          <w:p w14:paraId="685F91DE">
            <w:pPr>
              <w:spacing w:line="400" w:lineRule="exact"/>
              <w:jc w:val="left"/>
              <w:rPr>
                <w:rFonts w:hint="eastAsia" w:ascii="宋体" w:hAnsi="宋体" w:cs="宋体"/>
                <w:kern w:val="0"/>
                <w:sz w:val="21"/>
                <w:szCs w:val="21"/>
              </w:rPr>
            </w:pPr>
          </w:p>
        </w:tc>
        <w:tc>
          <w:tcPr>
            <w:tcW w:w="592" w:type="pct"/>
            <w:vMerge w:val="restart"/>
            <w:vAlign w:val="center"/>
          </w:tcPr>
          <w:p w14:paraId="356BEDCE">
            <w:pPr>
              <w:spacing w:line="400" w:lineRule="exact"/>
              <w:jc w:val="center"/>
              <w:rPr>
                <w:rFonts w:hint="eastAsia" w:ascii="宋体" w:hAnsi="宋体" w:cs="宋体"/>
                <w:kern w:val="0"/>
                <w:sz w:val="21"/>
                <w:szCs w:val="21"/>
              </w:rPr>
            </w:pPr>
            <w:r>
              <w:rPr>
                <w:rFonts w:hint="eastAsia" w:ascii="宋体" w:hAnsi="宋体" w:cs="宋体"/>
                <w:kern w:val="0"/>
                <w:sz w:val="21"/>
                <w:szCs w:val="21"/>
              </w:rPr>
              <w:t>病历评价-任务管理</w:t>
            </w:r>
          </w:p>
        </w:tc>
        <w:tc>
          <w:tcPr>
            <w:tcW w:w="2432" w:type="pct"/>
            <w:vAlign w:val="center"/>
          </w:tcPr>
          <w:p w14:paraId="088ED0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1、质控任务创建</w:t>
            </w:r>
          </w:p>
          <w:p w14:paraId="69EF0C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（1）任务基本信息维护：支持对新建的质控任务基本信息维护。</w:t>
            </w:r>
          </w:p>
          <w:p w14:paraId="12D059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▲（2）自动抽取病历</w:t>
            </w:r>
          </w:p>
          <w:p w14:paraId="5E1609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1）支持对质控任务的病历的质控情况进行选择，包括全部病历、只抽取人工质控提交过的病历、只抽取人工未提交过的病历；</w:t>
            </w:r>
          </w:p>
          <w:p w14:paraId="0E80D6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2）支持对病历自动选择质控点进行配置，支持按不同方式进行抽查，如：按比例抽查、按病例数抽查；支持对抽查方式进行批量操作。</w:t>
            </w:r>
          </w:p>
          <w:p w14:paraId="7FC03E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（3）分配质控病历：支持将抽取的病历，按科室分配给不同的质控员</w:t>
            </w:r>
          </w:p>
        </w:tc>
        <w:tc>
          <w:tcPr>
            <w:tcW w:w="711" w:type="pct"/>
            <w:vAlign w:val="center"/>
          </w:tcPr>
          <w:p w14:paraId="03D8EB5E">
            <w:pPr>
              <w:spacing w:line="400" w:lineRule="exact"/>
              <w:jc w:val="left"/>
              <w:rPr>
                <w:rFonts w:hint="eastAsia" w:ascii="宋体" w:hAnsi="宋体" w:cs="宋体"/>
                <w:kern w:val="0"/>
                <w:sz w:val="21"/>
                <w:szCs w:val="21"/>
              </w:rPr>
            </w:pPr>
          </w:p>
        </w:tc>
        <w:tc>
          <w:tcPr>
            <w:tcW w:w="545" w:type="pct"/>
            <w:vAlign w:val="center"/>
          </w:tcPr>
          <w:p w14:paraId="7DB4068F">
            <w:pPr>
              <w:spacing w:line="400" w:lineRule="exact"/>
              <w:jc w:val="left"/>
              <w:rPr>
                <w:rFonts w:hint="eastAsia" w:ascii="宋体" w:hAnsi="宋体" w:cs="宋体"/>
                <w:kern w:val="0"/>
                <w:sz w:val="21"/>
                <w:szCs w:val="21"/>
              </w:rPr>
            </w:pPr>
          </w:p>
        </w:tc>
      </w:tr>
      <w:tr w14:paraId="01C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22F5597">
            <w:pPr>
              <w:spacing w:line="400" w:lineRule="exact"/>
              <w:jc w:val="left"/>
              <w:rPr>
                <w:rFonts w:hint="eastAsia" w:ascii="宋体" w:hAnsi="宋体" w:cs="宋体"/>
                <w:kern w:val="0"/>
                <w:sz w:val="21"/>
                <w:szCs w:val="21"/>
              </w:rPr>
            </w:pPr>
          </w:p>
        </w:tc>
        <w:tc>
          <w:tcPr>
            <w:tcW w:w="592" w:type="pct"/>
            <w:vMerge w:val="continue"/>
            <w:vAlign w:val="center"/>
          </w:tcPr>
          <w:p w14:paraId="1CF37A31">
            <w:pPr>
              <w:spacing w:line="400" w:lineRule="exact"/>
              <w:jc w:val="left"/>
              <w:rPr>
                <w:rFonts w:hint="eastAsia" w:ascii="宋体" w:hAnsi="宋体" w:cs="宋体"/>
                <w:kern w:val="0"/>
                <w:sz w:val="21"/>
                <w:szCs w:val="21"/>
              </w:rPr>
            </w:pPr>
          </w:p>
        </w:tc>
        <w:tc>
          <w:tcPr>
            <w:tcW w:w="2432" w:type="pct"/>
            <w:vAlign w:val="center"/>
          </w:tcPr>
          <w:p w14:paraId="43A378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2、查看质控任务</w:t>
            </w:r>
          </w:p>
          <w:p w14:paraId="71600E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（1）支持查看病历质控任务的病历总数，选中病历数，质控抽取率；</w:t>
            </w:r>
          </w:p>
          <w:p w14:paraId="0D276C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（2）支持查看质控任务中各质控员的质控病历列表，以及时间段内未抽查的所有病历列表，方便对未选择的病历进行人工分配。</w:t>
            </w:r>
          </w:p>
        </w:tc>
        <w:tc>
          <w:tcPr>
            <w:tcW w:w="711" w:type="pct"/>
            <w:vAlign w:val="center"/>
          </w:tcPr>
          <w:p w14:paraId="14A1401A">
            <w:pPr>
              <w:spacing w:line="400" w:lineRule="exact"/>
              <w:jc w:val="left"/>
              <w:rPr>
                <w:rFonts w:hint="eastAsia" w:ascii="宋体" w:hAnsi="宋体" w:cs="宋体"/>
                <w:kern w:val="0"/>
                <w:sz w:val="21"/>
                <w:szCs w:val="21"/>
              </w:rPr>
            </w:pPr>
          </w:p>
        </w:tc>
        <w:tc>
          <w:tcPr>
            <w:tcW w:w="545" w:type="pct"/>
            <w:vAlign w:val="center"/>
          </w:tcPr>
          <w:p w14:paraId="60C09720">
            <w:pPr>
              <w:spacing w:line="400" w:lineRule="exact"/>
              <w:jc w:val="left"/>
              <w:rPr>
                <w:rFonts w:hint="eastAsia" w:ascii="宋体" w:hAnsi="宋体" w:cs="宋体"/>
                <w:kern w:val="0"/>
                <w:sz w:val="21"/>
                <w:szCs w:val="21"/>
              </w:rPr>
            </w:pPr>
          </w:p>
        </w:tc>
      </w:tr>
      <w:tr w14:paraId="0A6A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ED37E54">
            <w:pPr>
              <w:spacing w:line="400" w:lineRule="exact"/>
              <w:jc w:val="left"/>
              <w:rPr>
                <w:rFonts w:hint="eastAsia" w:ascii="宋体" w:hAnsi="宋体" w:cs="宋体"/>
                <w:kern w:val="0"/>
                <w:sz w:val="21"/>
                <w:szCs w:val="21"/>
              </w:rPr>
            </w:pPr>
          </w:p>
        </w:tc>
        <w:tc>
          <w:tcPr>
            <w:tcW w:w="592" w:type="pct"/>
            <w:vMerge w:val="continue"/>
            <w:vAlign w:val="center"/>
          </w:tcPr>
          <w:p w14:paraId="62A20B32">
            <w:pPr>
              <w:spacing w:line="400" w:lineRule="exact"/>
              <w:jc w:val="left"/>
              <w:rPr>
                <w:rFonts w:hint="eastAsia" w:ascii="宋体" w:hAnsi="宋体" w:cs="宋体"/>
                <w:kern w:val="0"/>
                <w:sz w:val="21"/>
                <w:szCs w:val="21"/>
              </w:rPr>
            </w:pPr>
          </w:p>
        </w:tc>
        <w:tc>
          <w:tcPr>
            <w:tcW w:w="2432" w:type="pct"/>
            <w:vAlign w:val="center"/>
          </w:tcPr>
          <w:p w14:paraId="7D945D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3、筛选质控病历并二次分配</w:t>
            </w:r>
          </w:p>
          <w:p w14:paraId="3FC928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（1）支持通过多维度快速搜索病历并再次指派给质控员，筛选的维度至少包括：审核状态、科室、病历等级、病历特征、标签、手术级别等；</w:t>
            </w:r>
          </w:p>
          <w:p w14:paraId="231BEE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（2）病历特征选择包括不仅限于：基本特征、手术及操作、患者诊断、住院时间、专科特征、护理、医嘱用药、其他、特殊用药等。</w:t>
            </w:r>
          </w:p>
          <w:p w14:paraId="019F97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（3）支持对搜索的病历进行单项/批量指派给质控员。</w:t>
            </w:r>
          </w:p>
        </w:tc>
        <w:tc>
          <w:tcPr>
            <w:tcW w:w="711" w:type="pct"/>
            <w:vAlign w:val="center"/>
          </w:tcPr>
          <w:p w14:paraId="38349883">
            <w:pPr>
              <w:spacing w:line="400" w:lineRule="exact"/>
              <w:jc w:val="left"/>
              <w:rPr>
                <w:rFonts w:hint="eastAsia" w:ascii="宋体" w:hAnsi="宋体" w:cs="宋体"/>
                <w:kern w:val="0"/>
                <w:sz w:val="21"/>
                <w:szCs w:val="21"/>
              </w:rPr>
            </w:pPr>
          </w:p>
        </w:tc>
        <w:tc>
          <w:tcPr>
            <w:tcW w:w="545" w:type="pct"/>
            <w:vAlign w:val="center"/>
          </w:tcPr>
          <w:p w14:paraId="57092E9B">
            <w:pPr>
              <w:spacing w:line="400" w:lineRule="exact"/>
              <w:jc w:val="left"/>
              <w:rPr>
                <w:rFonts w:hint="eastAsia" w:ascii="宋体" w:hAnsi="宋体" w:cs="宋体"/>
                <w:kern w:val="0"/>
                <w:sz w:val="21"/>
                <w:szCs w:val="21"/>
              </w:rPr>
            </w:pPr>
          </w:p>
        </w:tc>
      </w:tr>
      <w:tr w14:paraId="1EDA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6FB73E5E">
            <w:pPr>
              <w:spacing w:line="400" w:lineRule="exact"/>
              <w:jc w:val="left"/>
              <w:rPr>
                <w:rFonts w:hint="eastAsia" w:ascii="宋体" w:hAnsi="宋体" w:cs="宋体"/>
                <w:kern w:val="0"/>
                <w:sz w:val="21"/>
                <w:szCs w:val="21"/>
              </w:rPr>
            </w:pPr>
          </w:p>
        </w:tc>
        <w:tc>
          <w:tcPr>
            <w:tcW w:w="592" w:type="pct"/>
            <w:vMerge w:val="continue"/>
            <w:vAlign w:val="center"/>
          </w:tcPr>
          <w:p w14:paraId="63E086FF">
            <w:pPr>
              <w:spacing w:line="400" w:lineRule="exact"/>
              <w:jc w:val="left"/>
              <w:rPr>
                <w:rFonts w:hint="eastAsia" w:ascii="宋体" w:hAnsi="宋体" w:cs="宋体"/>
                <w:kern w:val="0"/>
                <w:sz w:val="21"/>
                <w:szCs w:val="21"/>
              </w:rPr>
            </w:pPr>
          </w:p>
        </w:tc>
        <w:tc>
          <w:tcPr>
            <w:tcW w:w="2432" w:type="pct"/>
            <w:vAlign w:val="center"/>
          </w:tcPr>
          <w:p w14:paraId="37A7BF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4、查看质控项目及病历</w:t>
            </w:r>
          </w:p>
          <w:p w14:paraId="39659E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质控任务项目开始后，质控管理人员可随时查看病历审核任务的进度、剩余时间、病历详情，并以不同颜色对剩余时间进行预警</w:t>
            </w:r>
          </w:p>
        </w:tc>
        <w:tc>
          <w:tcPr>
            <w:tcW w:w="711" w:type="pct"/>
            <w:vAlign w:val="center"/>
          </w:tcPr>
          <w:p w14:paraId="58F59DAF">
            <w:pPr>
              <w:spacing w:line="400" w:lineRule="exact"/>
              <w:jc w:val="left"/>
              <w:rPr>
                <w:rFonts w:hint="eastAsia" w:ascii="宋体" w:hAnsi="宋体" w:cs="宋体"/>
                <w:kern w:val="0"/>
                <w:sz w:val="21"/>
                <w:szCs w:val="21"/>
              </w:rPr>
            </w:pPr>
          </w:p>
        </w:tc>
        <w:tc>
          <w:tcPr>
            <w:tcW w:w="545" w:type="pct"/>
            <w:vAlign w:val="center"/>
          </w:tcPr>
          <w:p w14:paraId="230479A9">
            <w:pPr>
              <w:spacing w:line="400" w:lineRule="exact"/>
              <w:jc w:val="left"/>
              <w:rPr>
                <w:rFonts w:hint="eastAsia" w:ascii="宋体" w:hAnsi="宋体" w:cs="宋体"/>
                <w:kern w:val="0"/>
                <w:sz w:val="21"/>
                <w:szCs w:val="21"/>
              </w:rPr>
            </w:pPr>
          </w:p>
        </w:tc>
      </w:tr>
      <w:tr w14:paraId="1A0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17" w:type="pct"/>
            <w:vMerge w:val="continue"/>
            <w:vAlign w:val="center"/>
          </w:tcPr>
          <w:p w14:paraId="5765066A">
            <w:pPr>
              <w:spacing w:line="400" w:lineRule="exact"/>
              <w:jc w:val="left"/>
              <w:rPr>
                <w:rFonts w:hint="eastAsia" w:ascii="宋体" w:hAnsi="宋体" w:cs="宋体"/>
                <w:kern w:val="0"/>
                <w:sz w:val="21"/>
                <w:szCs w:val="21"/>
              </w:rPr>
            </w:pPr>
          </w:p>
        </w:tc>
        <w:tc>
          <w:tcPr>
            <w:tcW w:w="592" w:type="pct"/>
            <w:vMerge w:val="continue"/>
            <w:vAlign w:val="center"/>
          </w:tcPr>
          <w:p w14:paraId="59B3FEBA">
            <w:pPr>
              <w:spacing w:line="400" w:lineRule="exact"/>
              <w:jc w:val="left"/>
              <w:rPr>
                <w:rFonts w:hint="eastAsia" w:ascii="宋体" w:hAnsi="宋体" w:cs="宋体"/>
                <w:kern w:val="0"/>
                <w:sz w:val="21"/>
                <w:szCs w:val="21"/>
              </w:rPr>
            </w:pPr>
          </w:p>
        </w:tc>
        <w:tc>
          <w:tcPr>
            <w:tcW w:w="2432" w:type="pct"/>
            <w:vAlign w:val="center"/>
          </w:tcPr>
          <w:p w14:paraId="694006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5、质控任务列表生成并下载</w:t>
            </w:r>
          </w:p>
          <w:p w14:paraId="5852C4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支持一键生成未完成、已完成、已关闭、全部质控任务的下载文件并下载。</w:t>
            </w:r>
          </w:p>
        </w:tc>
        <w:tc>
          <w:tcPr>
            <w:tcW w:w="711" w:type="pct"/>
            <w:vAlign w:val="center"/>
          </w:tcPr>
          <w:p w14:paraId="7DBA8965">
            <w:pPr>
              <w:spacing w:line="400" w:lineRule="exact"/>
              <w:jc w:val="left"/>
              <w:rPr>
                <w:rFonts w:hint="eastAsia" w:ascii="宋体" w:hAnsi="宋体" w:cs="宋体"/>
                <w:kern w:val="0"/>
                <w:sz w:val="21"/>
                <w:szCs w:val="21"/>
              </w:rPr>
            </w:pPr>
          </w:p>
        </w:tc>
        <w:tc>
          <w:tcPr>
            <w:tcW w:w="545" w:type="pct"/>
            <w:vAlign w:val="center"/>
          </w:tcPr>
          <w:p w14:paraId="7DAB261C">
            <w:pPr>
              <w:spacing w:line="400" w:lineRule="exact"/>
              <w:jc w:val="left"/>
              <w:rPr>
                <w:rFonts w:hint="eastAsia" w:ascii="宋体" w:hAnsi="宋体" w:cs="宋体"/>
                <w:kern w:val="0"/>
                <w:sz w:val="21"/>
                <w:szCs w:val="21"/>
              </w:rPr>
            </w:pPr>
          </w:p>
        </w:tc>
      </w:tr>
      <w:tr w14:paraId="25E1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717" w:type="pct"/>
            <w:vMerge w:val="continue"/>
            <w:vAlign w:val="center"/>
          </w:tcPr>
          <w:p w14:paraId="1A0544BA">
            <w:pPr>
              <w:spacing w:line="400" w:lineRule="exact"/>
              <w:jc w:val="left"/>
              <w:rPr>
                <w:rFonts w:hint="eastAsia" w:ascii="宋体" w:hAnsi="宋体" w:cs="宋体"/>
                <w:kern w:val="0"/>
                <w:sz w:val="21"/>
                <w:szCs w:val="21"/>
              </w:rPr>
            </w:pPr>
          </w:p>
        </w:tc>
        <w:tc>
          <w:tcPr>
            <w:tcW w:w="592" w:type="pct"/>
            <w:vMerge w:val="restart"/>
            <w:vAlign w:val="center"/>
          </w:tcPr>
          <w:p w14:paraId="572A5C06">
            <w:pPr>
              <w:spacing w:line="400" w:lineRule="exact"/>
              <w:jc w:val="center"/>
              <w:rPr>
                <w:rFonts w:hint="eastAsia" w:ascii="宋体" w:hAnsi="宋体" w:cs="宋体"/>
                <w:kern w:val="0"/>
                <w:sz w:val="21"/>
                <w:szCs w:val="21"/>
              </w:rPr>
            </w:pPr>
            <w:r>
              <w:rPr>
                <w:rFonts w:hint="eastAsia" w:ascii="宋体" w:hAnsi="宋体" w:cs="宋体"/>
                <w:kern w:val="0"/>
                <w:sz w:val="21"/>
                <w:szCs w:val="21"/>
              </w:rPr>
              <w:t>病历评价-任务执行</w:t>
            </w:r>
          </w:p>
        </w:tc>
        <w:tc>
          <w:tcPr>
            <w:tcW w:w="2432" w:type="pct"/>
            <w:vAlign w:val="center"/>
          </w:tcPr>
          <w:p w14:paraId="0F1944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质控人员登录系统，可查看到分配给质控员的所有质控任务列表，包括质控任务名称、抽取类型、质控病历时间、病历总数、质控级别、质控负责人、进度、剩余时间（天）、创建日期、创建人、状态、操作等。</w:t>
            </w:r>
          </w:p>
        </w:tc>
        <w:tc>
          <w:tcPr>
            <w:tcW w:w="711" w:type="pct"/>
            <w:vAlign w:val="center"/>
          </w:tcPr>
          <w:p w14:paraId="290A0D47">
            <w:pPr>
              <w:spacing w:line="400" w:lineRule="exact"/>
              <w:jc w:val="left"/>
              <w:rPr>
                <w:rFonts w:hint="eastAsia" w:ascii="宋体" w:hAnsi="宋体" w:cs="宋体"/>
                <w:kern w:val="0"/>
                <w:sz w:val="21"/>
                <w:szCs w:val="21"/>
              </w:rPr>
            </w:pPr>
          </w:p>
        </w:tc>
        <w:tc>
          <w:tcPr>
            <w:tcW w:w="545" w:type="pct"/>
            <w:vAlign w:val="center"/>
          </w:tcPr>
          <w:p w14:paraId="6C46AC8A">
            <w:pPr>
              <w:spacing w:line="400" w:lineRule="exact"/>
              <w:jc w:val="left"/>
              <w:rPr>
                <w:rFonts w:hint="eastAsia" w:ascii="宋体" w:hAnsi="宋体" w:cs="宋体"/>
                <w:kern w:val="0"/>
                <w:sz w:val="21"/>
                <w:szCs w:val="21"/>
              </w:rPr>
            </w:pPr>
          </w:p>
        </w:tc>
      </w:tr>
      <w:tr w14:paraId="0F12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BDDB79C">
            <w:pPr>
              <w:spacing w:line="400" w:lineRule="exact"/>
              <w:jc w:val="left"/>
              <w:rPr>
                <w:rFonts w:hint="eastAsia" w:ascii="宋体" w:hAnsi="宋体" w:cs="宋体"/>
                <w:kern w:val="0"/>
                <w:sz w:val="21"/>
                <w:szCs w:val="21"/>
              </w:rPr>
            </w:pPr>
          </w:p>
        </w:tc>
        <w:tc>
          <w:tcPr>
            <w:tcW w:w="592" w:type="pct"/>
            <w:vMerge w:val="continue"/>
            <w:vAlign w:val="center"/>
          </w:tcPr>
          <w:p w14:paraId="13D9B2D1">
            <w:pPr>
              <w:spacing w:line="400" w:lineRule="exact"/>
              <w:jc w:val="left"/>
              <w:rPr>
                <w:rFonts w:hint="eastAsia" w:ascii="宋体" w:hAnsi="宋体" w:cs="宋体"/>
                <w:kern w:val="0"/>
                <w:sz w:val="21"/>
                <w:szCs w:val="21"/>
              </w:rPr>
            </w:pPr>
          </w:p>
        </w:tc>
        <w:tc>
          <w:tcPr>
            <w:tcW w:w="2432" w:type="pct"/>
            <w:vAlign w:val="center"/>
          </w:tcPr>
          <w:p w14:paraId="21ADB8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支持以不同颜色对剩余时间进行预警，如剩余时间小于1天，则橙色提醒；剩余时间小于0（延期），则红色提醒；</w:t>
            </w:r>
          </w:p>
        </w:tc>
        <w:tc>
          <w:tcPr>
            <w:tcW w:w="711" w:type="pct"/>
            <w:vAlign w:val="center"/>
          </w:tcPr>
          <w:p w14:paraId="48A9B375">
            <w:pPr>
              <w:spacing w:line="400" w:lineRule="exact"/>
              <w:jc w:val="left"/>
              <w:rPr>
                <w:rFonts w:hint="eastAsia" w:ascii="宋体" w:hAnsi="宋体" w:cs="宋体"/>
                <w:kern w:val="0"/>
                <w:sz w:val="21"/>
                <w:szCs w:val="21"/>
              </w:rPr>
            </w:pPr>
          </w:p>
        </w:tc>
        <w:tc>
          <w:tcPr>
            <w:tcW w:w="545" w:type="pct"/>
            <w:vAlign w:val="center"/>
          </w:tcPr>
          <w:p w14:paraId="6869B33B">
            <w:pPr>
              <w:spacing w:line="400" w:lineRule="exact"/>
              <w:jc w:val="left"/>
              <w:rPr>
                <w:rFonts w:hint="eastAsia" w:ascii="宋体" w:hAnsi="宋体" w:cs="宋体"/>
                <w:kern w:val="0"/>
                <w:sz w:val="21"/>
                <w:szCs w:val="21"/>
              </w:rPr>
            </w:pPr>
          </w:p>
        </w:tc>
      </w:tr>
      <w:tr w14:paraId="59DC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779D7DD">
            <w:pPr>
              <w:spacing w:line="400" w:lineRule="exact"/>
              <w:jc w:val="left"/>
              <w:rPr>
                <w:rFonts w:hint="eastAsia" w:ascii="宋体" w:hAnsi="宋体" w:cs="宋体"/>
                <w:kern w:val="0"/>
                <w:sz w:val="21"/>
                <w:szCs w:val="21"/>
              </w:rPr>
            </w:pPr>
          </w:p>
        </w:tc>
        <w:tc>
          <w:tcPr>
            <w:tcW w:w="592" w:type="pct"/>
            <w:vMerge w:val="continue"/>
            <w:vAlign w:val="center"/>
          </w:tcPr>
          <w:p w14:paraId="385AEA5D">
            <w:pPr>
              <w:spacing w:line="400" w:lineRule="exact"/>
              <w:jc w:val="left"/>
              <w:rPr>
                <w:rFonts w:hint="eastAsia" w:ascii="宋体" w:hAnsi="宋体" w:cs="宋体"/>
                <w:kern w:val="0"/>
                <w:sz w:val="21"/>
                <w:szCs w:val="21"/>
              </w:rPr>
            </w:pPr>
          </w:p>
        </w:tc>
        <w:tc>
          <w:tcPr>
            <w:tcW w:w="2432" w:type="pct"/>
            <w:vAlign w:val="center"/>
          </w:tcPr>
          <w:p w14:paraId="12DDCA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支持查看每份病历的详细病历质控详情，并在线进行人工病历审核。</w:t>
            </w:r>
          </w:p>
        </w:tc>
        <w:tc>
          <w:tcPr>
            <w:tcW w:w="711" w:type="pct"/>
            <w:vAlign w:val="center"/>
          </w:tcPr>
          <w:p w14:paraId="3763DD75">
            <w:pPr>
              <w:spacing w:line="400" w:lineRule="exact"/>
              <w:jc w:val="left"/>
              <w:rPr>
                <w:rFonts w:hint="eastAsia" w:ascii="宋体" w:hAnsi="宋体" w:cs="宋体"/>
                <w:kern w:val="0"/>
                <w:sz w:val="21"/>
                <w:szCs w:val="21"/>
              </w:rPr>
            </w:pPr>
          </w:p>
        </w:tc>
        <w:tc>
          <w:tcPr>
            <w:tcW w:w="545" w:type="pct"/>
            <w:vAlign w:val="center"/>
          </w:tcPr>
          <w:p w14:paraId="377DA26C">
            <w:pPr>
              <w:spacing w:line="400" w:lineRule="exact"/>
              <w:jc w:val="left"/>
              <w:rPr>
                <w:rFonts w:hint="eastAsia" w:ascii="宋体" w:hAnsi="宋体" w:cs="宋体"/>
                <w:kern w:val="0"/>
                <w:sz w:val="21"/>
                <w:szCs w:val="21"/>
              </w:rPr>
            </w:pPr>
          </w:p>
        </w:tc>
      </w:tr>
      <w:tr w14:paraId="041B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581B2CEB">
            <w:pPr>
              <w:spacing w:line="400" w:lineRule="exact"/>
              <w:jc w:val="left"/>
              <w:rPr>
                <w:rFonts w:hint="eastAsia" w:ascii="宋体" w:hAnsi="宋体" w:cs="宋体"/>
                <w:kern w:val="0"/>
                <w:sz w:val="21"/>
                <w:szCs w:val="21"/>
              </w:rPr>
            </w:pPr>
          </w:p>
        </w:tc>
        <w:tc>
          <w:tcPr>
            <w:tcW w:w="592" w:type="pct"/>
            <w:vMerge w:val="restart"/>
            <w:vAlign w:val="center"/>
          </w:tcPr>
          <w:p w14:paraId="25972317">
            <w:pPr>
              <w:spacing w:line="400" w:lineRule="exact"/>
              <w:jc w:val="center"/>
              <w:rPr>
                <w:rFonts w:hint="eastAsia" w:ascii="宋体" w:hAnsi="宋体" w:cs="宋体"/>
                <w:kern w:val="0"/>
                <w:sz w:val="21"/>
                <w:szCs w:val="21"/>
              </w:rPr>
            </w:pPr>
            <w:r>
              <w:rPr>
                <w:rFonts w:hint="eastAsia" w:ascii="宋体" w:hAnsi="宋体" w:cs="宋体"/>
                <w:kern w:val="0"/>
                <w:sz w:val="21"/>
                <w:szCs w:val="21"/>
              </w:rPr>
              <w:t>人工审核</w:t>
            </w:r>
          </w:p>
        </w:tc>
        <w:tc>
          <w:tcPr>
            <w:tcW w:w="2432" w:type="pct"/>
            <w:vAlign w:val="center"/>
          </w:tcPr>
          <w:p w14:paraId="3229FC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1、质控缺陷总览：</w:t>
            </w:r>
          </w:p>
          <w:p w14:paraId="0FC992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质控员选择一份病历进行人工审核时，系统智能提示当前病历的各文书的缺陷问题数量，支持根据质控员查看的文书不同展示当前文书下的所有问题缺陷、备注问题缺陷原因、扣分、质控类型（机器/人工）等。</w:t>
            </w:r>
          </w:p>
        </w:tc>
        <w:tc>
          <w:tcPr>
            <w:tcW w:w="711" w:type="pct"/>
            <w:vAlign w:val="center"/>
          </w:tcPr>
          <w:p w14:paraId="7C273E78">
            <w:pPr>
              <w:spacing w:line="400" w:lineRule="exact"/>
              <w:jc w:val="left"/>
              <w:rPr>
                <w:rFonts w:hint="eastAsia" w:ascii="宋体" w:hAnsi="宋体" w:cs="宋体"/>
                <w:kern w:val="0"/>
                <w:sz w:val="21"/>
                <w:szCs w:val="21"/>
              </w:rPr>
            </w:pPr>
          </w:p>
        </w:tc>
        <w:tc>
          <w:tcPr>
            <w:tcW w:w="545" w:type="pct"/>
            <w:vAlign w:val="center"/>
          </w:tcPr>
          <w:p w14:paraId="51FA5C81">
            <w:pPr>
              <w:spacing w:line="400" w:lineRule="exact"/>
              <w:jc w:val="left"/>
              <w:rPr>
                <w:rFonts w:hint="eastAsia" w:ascii="宋体" w:hAnsi="宋体" w:cs="宋体"/>
                <w:kern w:val="0"/>
                <w:sz w:val="21"/>
                <w:szCs w:val="21"/>
              </w:rPr>
            </w:pPr>
          </w:p>
        </w:tc>
      </w:tr>
      <w:tr w14:paraId="3EF8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82C7987">
            <w:pPr>
              <w:spacing w:line="400" w:lineRule="exact"/>
              <w:jc w:val="left"/>
              <w:rPr>
                <w:rFonts w:hint="eastAsia" w:ascii="宋体" w:hAnsi="宋体" w:cs="宋体"/>
                <w:kern w:val="0"/>
                <w:sz w:val="21"/>
                <w:szCs w:val="21"/>
              </w:rPr>
            </w:pPr>
          </w:p>
        </w:tc>
        <w:tc>
          <w:tcPr>
            <w:tcW w:w="592" w:type="pct"/>
            <w:vMerge w:val="continue"/>
            <w:vAlign w:val="center"/>
          </w:tcPr>
          <w:p w14:paraId="5D3F28AD">
            <w:pPr>
              <w:spacing w:line="400" w:lineRule="exact"/>
              <w:jc w:val="left"/>
              <w:rPr>
                <w:rFonts w:hint="eastAsia" w:ascii="宋体" w:hAnsi="宋体" w:cs="宋体"/>
                <w:kern w:val="0"/>
                <w:sz w:val="21"/>
                <w:szCs w:val="21"/>
              </w:rPr>
            </w:pPr>
          </w:p>
        </w:tc>
        <w:tc>
          <w:tcPr>
            <w:tcW w:w="2432" w:type="pct"/>
            <w:vAlign w:val="center"/>
          </w:tcPr>
          <w:p w14:paraId="5B085F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2、人工质控与结果确认：</w:t>
            </w:r>
          </w:p>
          <w:p w14:paraId="6B4EEA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（1）支持点击缺陷问题，系统自动跳转至缺陷对应的段落或原文，且高亮并划线对应到质控点上；</w:t>
            </w:r>
          </w:p>
          <w:p w14:paraId="4D7894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质控人员根据系统的质控结果对病历的缺陷进行人工确认，如果认为此缺陷对病历质量影响不大，可以确认完成；如果认为此缺陷要求医生修改，可点击“回复”把修改建议反馈给临床医生，且质控类型随即由机器转变成人工。</w:t>
            </w:r>
          </w:p>
          <w:p w14:paraId="25D7B3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（3）针对质控员建议医生修改的缺陷问题，系统需支持在缺陷问题右上角进行不同颜色展示，方便质控员根据颜色快速定位到医生对缺陷建议的反馈情况，并对反馈结果进行确认。</w:t>
            </w:r>
          </w:p>
          <w:p w14:paraId="5F080C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审核病历时，除系统自动识别的书写问题，支持通过鼠标滑选对存在缺陷的文字直接进行标记，同时触发信息输入弹窗，包括选择文书类型、选择对应的质控点（提供所有质控点下拉窗，并支持关键字搜索）、扣分分值、科室（提供所有科室下拉窗并支持关键字搜索）、医生</w:t>
            </w:r>
            <w:r>
              <w:rPr>
                <w:rFonts w:hint="eastAsia" w:asciiTheme="minorEastAsia" w:hAnsiTheme="minorEastAsia" w:eastAsiaTheme="minorEastAsia" w:cstheme="minorEastAsia"/>
                <w:sz w:val="21"/>
                <w:szCs w:val="21"/>
              </w:rPr>
              <w:t>（提供所有医生名单下拉窗并支持关键字搜索），提供回复医生信息输入框且可添加及编辑模版。</w:t>
            </w:r>
          </w:p>
        </w:tc>
        <w:tc>
          <w:tcPr>
            <w:tcW w:w="711" w:type="pct"/>
            <w:vAlign w:val="center"/>
          </w:tcPr>
          <w:p w14:paraId="4B1E3EF6">
            <w:pPr>
              <w:spacing w:line="400" w:lineRule="exact"/>
              <w:jc w:val="left"/>
              <w:rPr>
                <w:rFonts w:hint="eastAsia" w:ascii="宋体" w:hAnsi="宋体" w:cs="宋体"/>
                <w:kern w:val="0"/>
                <w:sz w:val="21"/>
                <w:szCs w:val="21"/>
              </w:rPr>
            </w:pPr>
          </w:p>
        </w:tc>
        <w:tc>
          <w:tcPr>
            <w:tcW w:w="545" w:type="pct"/>
            <w:vAlign w:val="center"/>
          </w:tcPr>
          <w:p w14:paraId="2DAE5F56">
            <w:pPr>
              <w:spacing w:line="400" w:lineRule="exact"/>
              <w:jc w:val="left"/>
              <w:rPr>
                <w:rFonts w:hint="eastAsia" w:ascii="宋体" w:hAnsi="宋体" w:cs="宋体"/>
                <w:kern w:val="0"/>
                <w:sz w:val="21"/>
                <w:szCs w:val="21"/>
              </w:rPr>
            </w:pPr>
          </w:p>
        </w:tc>
      </w:tr>
      <w:tr w14:paraId="5542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2C92ADB">
            <w:pPr>
              <w:spacing w:line="400" w:lineRule="exact"/>
              <w:jc w:val="left"/>
              <w:rPr>
                <w:rFonts w:hint="eastAsia" w:ascii="宋体" w:hAnsi="宋体" w:cs="宋体"/>
                <w:kern w:val="0"/>
                <w:sz w:val="21"/>
                <w:szCs w:val="21"/>
              </w:rPr>
            </w:pPr>
          </w:p>
        </w:tc>
        <w:tc>
          <w:tcPr>
            <w:tcW w:w="592" w:type="pct"/>
            <w:vMerge w:val="continue"/>
            <w:vAlign w:val="center"/>
          </w:tcPr>
          <w:p w14:paraId="4A7DCBAE">
            <w:pPr>
              <w:spacing w:line="400" w:lineRule="exact"/>
              <w:jc w:val="left"/>
              <w:rPr>
                <w:rFonts w:hint="eastAsia" w:ascii="宋体" w:hAnsi="宋体" w:cs="宋体"/>
                <w:kern w:val="0"/>
                <w:sz w:val="21"/>
                <w:szCs w:val="21"/>
              </w:rPr>
            </w:pPr>
          </w:p>
        </w:tc>
        <w:tc>
          <w:tcPr>
            <w:tcW w:w="2432" w:type="pct"/>
            <w:vAlign w:val="center"/>
          </w:tcPr>
          <w:p w14:paraId="56FBAD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 3、多级人工质控评价</w:t>
            </w:r>
          </w:p>
          <w:p w14:paraId="104C1D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（1）支持专家、院级、科室等多级质控员对同一份病历进行人工质控；</w:t>
            </w:r>
          </w:p>
          <w:p w14:paraId="530793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（2）支持单独页面展示每个级别质控员的质控结果及详情，详情中包括该质控员对每个质控问题的质控结果以及评分表结果。页面中还应包括质控任务名称、责任人、审核时间、质控审核人等基本信息；</w:t>
            </w:r>
          </w:p>
          <w:p w14:paraId="64AC94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（3）支持上级质控专家查看和修改低级别的质控员的质控情况，同级别质控员只能修改分配给自己的质控结果，但是可以查看其他同级别质控员结果，低级别的质控员 不能 查看高级版的质控员的质控结果。</w:t>
            </w:r>
          </w:p>
        </w:tc>
        <w:tc>
          <w:tcPr>
            <w:tcW w:w="711" w:type="pct"/>
            <w:vAlign w:val="center"/>
          </w:tcPr>
          <w:p w14:paraId="70F0C09A">
            <w:pPr>
              <w:spacing w:line="400" w:lineRule="exact"/>
              <w:jc w:val="left"/>
              <w:rPr>
                <w:rFonts w:hint="eastAsia" w:ascii="宋体" w:hAnsi="宋体" w:cs="宋体"/>
                <w:kern w:val="0"/>
                <w:sz w:val="21"/>
                <w:szCs w:val="21"/>
              </w:rPr>
            </w:pPr>
          </w:p>
        </w:tc>
        <w:tc>
          <w:tcPr>
            <w:tcW w:w="545" w:type="pct"/>
            <w:vAlign w:val="center"/>
          </w:tcPr>
          <w:p w14:paraId="37C2B970">
            <w:pPr>
              <w:spacing w:line="400" w:lineRule="exact"/>
              <w:jc w:val="left"/>
              <w:rPr>
                <w:rFonts w:hint="eastAsia" w:ascii="宋体" w:hAnsi="宋体" w:cs="宋体"/>
                <w:kern w:val="0"/>
                <w:sz w:val="21"/>
                <w:szCs w:val="21"/>
              </w:rPr>
            </w:pPr>
          </w:p>
        </w:tc>
      </w:tr>
      <w:tr w14:paraId="2458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68651B4">
            <w:pPr>
              <w:spacing w:line="400" w:lineRule="exact"/>
              <w:jc w:val="left"/>
              <w:rPr>
                <w:rFonts w:hint="eastAsia" w:ascii="宋体" w:hAnsi="宋体" w:cs="宋体"/>
                <w:kern w:val="0"/>
                <w:sz w:val="21"/>
                <w:szCs w:val="21"/>
              </w:rPr>
            </w:pPr>
          </w:p>
        </w:tc>
        <w:tc>
          <w:tcPr>
            <w:tcW w:w="592" w:type="pct"/>
            <w:vMerge w:val="continue"/>
            <w:vAlign w:val="center"/>
          </w:tcPr>
          <w:p w14:paraId="69F92960">
            <w:pPr>
              <w:spacing w:line="400" w:lineRule="exact"/>
              <w:jc w:val="left"/>
              <w:rPr>
                <w:rFonts w:hint="eastAsia" w:ascii="宋体" w:hAnsi="宋体" w:cs="宋体"/>
                <w:kern w:val="0"/>
                <w:sz w:val="21"/>
                <w:szCs w:val="21"/>
              </w:rPr>
            </w:pPr>
          </w:p>
        </w:tc>
        <w:tc>
          <w:tcPr>
            <w:tcW w:w="2432" w:type="pct"/>
            <w:vAlign w:val="center"/>
          </w:tcPr>
          <w:p w14:paraId="16B530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4、病历评分表：</w:t>
            </w:r>
          </w:p>
          <w:p w14:paraId="401461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（1）系统根据医院评分表的配置及质控点关联，自动对病历进行评分，质控员可以进行人工评分。</w:t>
            </w:r>
          </w:p>
          <w:p w14:paraId="68EF06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（2）支持根据评分项目导航快速定位不同评分项目，并对扣分项目进行标红处理，点击可查看具体扣分点、扣分结果、扣分理由，方便质控员对扣分情况进行确认/调整。</w:t>
            </w:r>
          </w:p>
          <w:p w14:paraId="34E8E4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（3）支持通过添加/删除缺陷问题进行人工干预评分，也支持通过人工修改该评估项目的扣分结果调整病历总体得分。</w:t>
            </w:r>
          </w:p>
        </w:tc>
        <w:tc>
          <w:tcPr>
            <w:tcW w:w="711" w:type="pct"/>
            <w:vAlign w:val="center"/>
          </w:tcPr>
          <w:p w14:paraId="3C452E72">
            <w:pPr>
              <w:spacing w:line="400" w:lineRule="exact"/>
              <w:jc w:val="left"/>
              <w:rPr>
                <w:rFonts w:hint="eastAsia" w:ascii="宋体" w:hAnsi="宋体" w:cs="宋体"/>
                <w:kern w:val="0"/>
                <w:sz w:val="21"/>
                <w:szCs w:val="21"/>
              </w:rPr>
            </w:pPr>
          </w:p>
        </w:tc>
        <w:tc>
          <w:tcPr>
            <w:tcW w:w="545" w:type="pct"/>
            <w:vAlign w:val="center"/>
          </w:tcPr>
          <w:p w14:paraId="4D02C14A">
            <w:pPr>
              <w:spacing w:line="400" w:lineRule="exact"/>
              <w:jc w:val="left"/>
              <w:rPr>
                <w:rFonts w:hint="eastAsia" w:ascii="宋体" w:hAnsi="宋体" w:cs="宋体"/>
                <w:kern w:val="0"/>
                <w:sz w:val="21"/>
                <w:szCs w:val="21"/>
              </w:rPr>
            </w:pPr>
          </w:p>
        </w:tc>
      </w:tr>
      <w:tr w14:paraId="0B02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8484EE6">
            <w:pPr>
              <w:spacing w:line="400" w:lineRule="exact"/>
              <w:jc w:val="left"/>
              <w:rPr>
                <w:rFonts w:hint="eastAsia" w:ascii="宋体" w:hAnsi="宋体" w:cs="宋体"/>
                <w:kern w:val="0"/>
                <w:sz w:val="21"/>
                <w:szCs w:val="21"/>
              </w:rPr>
            </w:pPr>
          </w:p>
        </w:tc>
        <w:tc>
          <w:tcPr>
            <w:tcW w:w="592" w:type="pct"/>
            <w:vMerge w:val="continue"/>
            <w:vAlign w:val="center"/>
          </w:tcPr>
          <w:p w14:paraId="1907A1B4">
            <w:pPr>
              <w:spacing w:line="400" w:lineRule="exact"/>
              <w:jc w:val="left"/>
              <w:rPr>
                <w:rFonts w:hint="eastAsia" w:ascii="宋体" w:hAnsi="宋体" w:cs="宋体"/>
                <w:kern w:val="0"/>
                <w:sz w:val="21"/>
                <w:szCs w:val="21"/>
              </w:rPr>
            </w:pPr>
          </w:p>
        </w:tc>
        <w:tc>
          <w:tcPr>
            <w:tcW w:w="2432" w:type="pct"/>
            <w:vAlign w:val="center"/>
          </w:tcPr>
          <w:p w14:paraId="54D329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5、病历缺陷问题质控过程闭环展示：</w:t>
            </w:r>
          </w:p>
          <w:p w14:paraId="43E01C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（1）支持查看病历缺陷问题列表，了解每个缺陷问题的状态、医生申诉情况、扣分等，及时了解医生、质控员对现存问题的处理进度及详情。 </w:t>
            </w:r>
          </w:p>
          <w:p w14:paraId="07B199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查看医生对病历缺陷问题是否申诉，点击回复可快速查看质控员与临床医生在线沟通历史详情，以及当前缺陷问题的整个流转过程，包括发现问题时间、人工质控回复医生时间、问题申诉时间及操作人员等。</w:t>
            </w:r>
          </w:p>
          <w:p w14:paraId="434DAB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（3）支持一键溯源到缺陷问题对应的文书段落或原文</w:t>
            </w:r>
          </w:p>
        </w:tc>
        <w:tc>
          <w:tcPr>
            <w:tcW w:w="711" w:type="pct"/>
            <w:vAlign w:val="center"/>
          </w:tcPr>
          <w:p w14:paraId="58F5738B">
            <w:pPr>
              <w:spacing w:line="400" w:lineRule="exact"/>
              <w:jc w:val="left"/>
              <w:rPr>
                <w:rFonts w:hint="eastAsia" w:ascii="宋体" w:hAnsi="宋体" w:cs="宋体"/>
                <w:kern w:val="0"/>
                <w:sz w:val="21"/>
                <w:szCs w:val="21"/>
              </w:rPr>
            </w:pPr>
          </w:p>
        </w:tc>
        <w:tc>
          <w:tcPr>
            <w:tcW w:w="545" w:type="pct"/>
            <w:vAlign w:val="center"/>
          </w:tcPr>
          <w:p w14:paraId="29CB6024">
            <w:pPr>
              <w:spacing w:line="400" w:lineRule="exact"/>
              <w:jc w:val="left"/>
              <w:rPr>
                <w:rFonts w:hint="eastAsia" w:ascii="宋体" w:hAnsi="宋体" w:cs="宋体"/>
                <w:kern w:val="0"/>
                <w:sz w:val="21"/>
                <w:szCs w:val="21"/>
              </w:rPr>
            </w:pPr>
          </w:p>
        </w:tc>
      </w:tr>
      <w:tr w14:paraId="4D6D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3EE4655F">
            <w:pPr>
              <w:spacing w:line="400" w:lineRule="exact"/>
              <w:jc w:val="left"/>
              <w:rPr>
                <w:rFonts w:hint="eastAsia" w:ascii="宋体" w:hAnsi="宋体" w:cs="宋体"/>
                <w:kern w:val="0"/>
                <w:sz w:val="21"/>
                <w:szCs w:val="21"/>
              </w:rPr>
            </w:pPr>
          </w:p>
        </w:tc>
        <w:tc>
          <w:tcPr>
            <w:tcW w:w="592" w:type="pct"/>
            <w:vMerge w:val="continue"/>
            <w:vAlign w:val="center"/>
          </w:tcPr>
          <w:p w14:paraId="5B11BD89">
            <w:pPr>
              <w:spacing w:line="400" w:lineRule="exact"/>
              <w:jc w:val="left"/>
              <w:rPr>
                <w:rFonts w:hint="eastAsia" w:ascii="宋体" w:hAnsi="宋体" w:cs="宋体"/>
                <w:kern w:val="0"/>
                <w:sz w:val="21"/>
                <w:szCs w:val="21"/>
              </w:rPr>
            </w:pPr>
          </w:p>
        </w:tc>
        <w:tc>
          <w:tcPr>
            <w:tcW w:w="2432" w:type="pct"/>
            <w:vAlign w:val="center"/>
          </w:tcPr>
          <w:p w14:paraId="52A10A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6、病历整体质控过程闭环展示：</w:t>
            </w:r>
          </w:p>
          <w:p w14:paraId="071554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支持查看病历人工质控的闭环流程，需包括机器质控、人工审核、评价单下发、科室查收、医生确定、任务关闭等阶段的人工质控闭环流程。同时支持根据医院流程进行定制化配置。</w:t>
            </w:r>
          </w:p>
        </w:tc>
        <w:tc>
          <w:tcPr>
            <w:tcW w:w="711" w:type="pct"/>
            <w:vAlign w:val="center"/>
          </w:tcPr>
          <w:p w14:paraId="2FB7E59C">
            <w:pPr>
              <w:spacing w:line="400" w:lineRule="exact"/>
              <w:jc w:val="left"/>
              <w:rPr>
                <w:rFonts w:hint="eastAsia" w:ascii="宋体" w:hAnsi="宋体" w:cs="宋体"/>
                <w:kern w:val="0"/>
                <w:sz w:val="21"/>
                <w:szCs w:val="21"/>
              </w:rPr>
            </w:pPr>
          </w:p>
        </w:tc>
        <w:tc>
          <w:tcPr>
            <w:tcW w:w="545" w:type="pct"/>
            <w:vAlign w:val="center"/>
          </w:tcPr>
          <w:p w14:paraId="43EB17AF">
            <w:pPr>
              <w:spacing w:line="400" w:lineRule="exact"/>
              <w:jc w:val="left"/>
              <w:rPr>
                <w:rFonts w:hint="eastAsia" w:ascii="宋体" w:hAnsi="宋体" w:cs="宋体"/>
                <w:kern w:val="0"/>
                <w:sz w:val="21"/>
                <w:szCs w:val="21"/>
              </w:rPr>
            </w:pPr>
          </w:p>
        </w:tc>
      </w:tr>
      <w:tr w14:paraId="49B8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4FF0FD6">
            <w:pPr>
              <w:spacing w:line="400" w:lineRule="exact"/>
              <w:jc w:val="left"/>
              <w:rPr>
                <w:rFonts w:hint="eastAsia" w:ascii="宋体" w:hAnsi="宋体" w:cs="宋体"/>
                <w:kern w:val="0"/>
                <w:sz w:val="21"/>
                <w:szCs w:val="21"/>
              </w:rPr>
            </w:pPr>
          </w:p>
        </w:tc>
        <w:tc>
          <w:tcPr>
            <w:tcW w:w="592" w:type="pct"/>
            <w:vAlign w:val="center"/>
          </w:tcPr>
          <w:p w14:paraId="080F5E96">
            <w:pPr>
              <w:spacing w:line="400" w:lineRule="exact"/>
              <w:jc w:val="center"/>
              <w:rPr>
                <w:rFonts w:hint="eastAsia" w:ascii="宋体" w:hAnsi="宋体" w:cs="宋体"/>
                <w:kern w:val="0"/>
                <w:sz w:val="21"/>
                <w:szCs w:val="21"/>
              </w:rPr>
            </w:pPr>
            <w:r>
              <w:rPr>
                <w:rFonts w:hint="eastAsia" w:ascii="宋体" w:hAnsi="宋体" w:cs="宋体"/>
                <w:kern w:val="0"/>
                <w:sz w:val="21"/>
                <w:szCs w:val="21"/>
              </w:rPr>
              <w:t>人工评价单下发管理</w:t>
            </w:r>
          </w:p>
        </w:tc>
        <w:tc>
          <w:tcPr>
            <w:tcW w:w="2432" w:type="pct"/>
            <w:vAlign w:val="center"/>
          </w:tcPr>
          <w:p w14:paraId="50AC4B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▲质控员在机器质控基础上完成人工审核后，系统自动生成该质控员所属质控级别的评价单，质管员可以进行批量下发给相关科室或医生，医生端可及时查看下发的人工评价单，并在线查收、确认；</w:t>
            </w:r>
          </w:p>
          <w:p w14:paraId="7CE4D0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支持与医院的现有短信平台对接，完成下发时的短信通知。</w:t>
            </w:r>
          </w:p>
        </w:tc>
        <w:tc>
          <w:tcPr>
            <w:tcW w:w="711" w:type="pct"/>
            <w:vAlign w:val="center"/>
          </w:tcPr>
          <w:p w14:paraId="01903B64">
            <w:pPr>
              <w:spacing w:line="400" w:lineRule="exact"/>
              <w:jc w:val="left"/>
              <w:rPr>
                <w:rFonts w:hint="eastAsia" w:ascii="宋体" w:hAnsi="宋体" w:cs="宋体"/>
                <w:kern w:val="0"/>
                <w:sz w:val="21"/>
                <w:szCs w:val="21"/>
              </w:rPr>
            </w:pPr>
          </w:p>
        </w:tc>
        <w:tc>
          <w:tcPr>
            <w:tcW w:w="545" w:type="pct"/>
            <w:vAlign w:val="center"/>
          </w:tcPr>
          <w:p w14:paraId="3798C6B9">
            <w:pPr>
              <w:spacing w:line="400" w:lineRule="exact"/>
              <w:jc w:val="left"/>
              <w:rPr>
                <w:rFonts w:hint="eastAsia" w:ascii="宋体" w:hAnsi="宋体" w:cs="宋体"/>
                <w:kern w:val="0"/>
                <w:sz w:val="21"/>
                <w:szCs w:val="21"/>
              </w:rPr>
            </w:pPr>
          </w:p>
        </w:tc>
      </w:tr>
      <w:tr w14:paraId="3E3D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90E7957">
            <w:pPr>
              <w:spacing w:line="400" w:lineRule="exact"/>
              <w:jc w:val="left"/>
              <w:rPr>
                <w:rFonts w:hint="eastAsia" w:ascii="宋体" w:hAnsi="宋体" w:cs="宋体"/>
                <w:kern w:val="0"/>
                <w:sz w:val="21"/>
                <w:szCs w:val="21"/>
              </w:rPr>
            </w:pPr>
          </w:p>
        </w:tc>
        <w:tc>
          <w:tcPr>
            <w:tcW w:w="592" w:type="pct"/>
            <w:vMerge w:val="restart"/>
            <w:vAlign w:val="center"/>
          </w:tcPr>
          <w:p w14:paraId="3B51F106">
            <w:pPr>
              <w:spacing w:line="400" w:lineRule="exact"/>
              <w:jc w:val="center"/>
              <w:rPr>
                <w:rFonts w:hint="eastAsia" w:ascii="宋体" w:hAnsi="宋体" w:cs="宋体"/>
                <w:kern w:val="0"/>
                <w:sz w:val="21"/>
                <w:szCs w:val="21"/>
              </w:rPr>
            </w:pPr>
            <w:r>
              <w:rPr>
                <w:rFonts w:hint="eastAsia" w:ascii="宋体" w:hAnsi="宋体" w:cs="宋体"/>
                <w:kern w:val="0"/>
                <w:sz w:val="21"/>
                <w:szCs w:val="21"/>
              </w:rPr>
              <w:t>审核意见反馈交互</w:t>
            </w:r>
          </w:p>
        </w:tc>
        <w:tc>
          <w:tcPr>
            <w:tcW w:w="2432" w:type="pct"/>
            <w:vAlign w:val="center"/>
          </w:tcPr>
          <w:p w14:paraId="519834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1、临床端反馈：书写病历时，支持医生对AI质控的问题在线进行问题申诉；</w:t>
            </w:r>
          </w:p>
        </w:tc>
        <w:tc>
          <w:tcPr>
            <w:tcW w:w="711" w:type="pct"/>
            <w:vAlign w:val="center"/>
          </w:tcPr>
          <w:p w14:paraId="7614D46F">
            <w:pPr>
              <w:spacing w:line="400" w:lineRule="exact"/>
              <w:jc w:val="left"/>
              <w:rPr>
                <w:rFonts w:hint="eastAsia" w:ascii="宋体" w:hAnsi="宋体" w:cs="宋体"/>
                <w:kern w:val="0"/>
                <w:sz w:val="21"/>
                <w:szCs w:val="21"/>
              </w:rPr>
            </w:pPr>
          </w:p>
        </w:tc>
        <w:tc>
          <w:tcPr>
            <w:tcW w:w="545" w:type="pct"/>
            <w:vAlign w:val="center"/>
          </w:tcPr>
          <w:p w14:paraId="2F47B30C">
            <w:pPr>
              <w:spacing w:line="400" w:lineRule="exact"/>
              <w:jc w:val="left"/>
              <w:rPr>
                <w:rFonts w:hint="eastAsia" w:ascii="宋体" w:hAnsi="宋体" w:cs="宋体"/>
                <w:kern w:val="0"/>
                <w:sz w:val="21"/>
                <w:szCs w:val="21"/>
              </w:rPr>
            </w:pPr>
          </w:p>
        </w:tc>
      </w:tr>
      <w:tr w14:paraId="67C2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55E2B239">
            <w:pPr>
              <w:spacing w:line="400" w:lineRule="exact"/>
              <w:jc w:val="left"/>
              <w:rPr>
                <w:rFonts w:hint="eastAsia" w:ascii="宋体" w:hAnsi="宋体" w:cs="宋体"/>
                <w:kern w:val="0"/>
                <w:sz w:val="21"/>
                <w:szCs w:val="21"/>
              </w:rPr>
            </w:pPr>
          </w:p>
        </w:tc>
        <w:tc>
          <w:tcPr>
            <w:tcW w:w="592" w:type="pct"/>
            <w:vMerge w:val="continue"/>
            <w:vAlign w:val="center"/>
          </w:tcPr>
          <w:p w14:paraId="74DC2300">
            <w:pPr>
              <w:spacing w:line="400" w:lineRule="exact"/>
              <w:jc w:val="left"/>
              <w:rPr>
                <w:rFonts w:hint="eastAsia" w:ascii="宋体" w:hAnsi="宋体" w:cs="宋体"/>
                <w:kern w:val="0"/>
                <w:sz w:val="21"/>
                <w:szCs w:val="21"/>
              </w:rPr>
            </w:pPr>
          </w:p>
        </w:tc>
        <w:tc>
          <w:tcPr>
            <w:tcW w:w="2432" w:type="pct"/>
            <w:vAlign w:val="center"/>
          </w:tcPr>
          <w:p w14:paraId="3C379F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2、质控员审核：支持质控员对每个质控问题的申诉情况进行查看，可再次对修改不正确的缺陷进行再次回复并填写修改建议。</w:t>
            </w:r>
          </w:p>
        </w:tc>
        <w:tc>
          <w:tcPr>
            <w:tcW w:w="711" w:type="pct"/>
            <w:vAlign w:val="center"/>
          </w:tcPr>
          <w:p w14:paraId="395ABC8B">
            <w:pPr>
              <w:spacing w:line="400" w:lineRule="exact"/>
              <w:jc w:val="left"/>
              <w:rPr>
                <w:rFonts w:hint="eastAsia" w:ascii="宋体" w:hAnsi="宋体" w:cs="宋体"/>
                <w:kern w:val="0"/>
                <w:sz w:val="21"/>
                <w:szCs w:val="21"/>
              </w:rPr>
            </w:pPr>
          </w:p>
        </w:tc>
        <w:tc>
          <w:tcPr>
            <w:tcW w:w="545" w:type="pct"/>
            <w:vAlign w:val="center"/>
          </w:tcPr>
          <w:p w14:paraId="13730694">
            <w:pPr>
              <w:spacing w:line="400" w:lineRule="exact"/>
              <w:jc w:val="left"/>
              <w:rPr>
                <w:rFonts w:hint="eastAsia" w:ascii="宋体" w:hAnsi="宋体" w:cs="宋体"/>
                <w:kern w:val="0"/>
                <w:sz w:val="21"/>
                <w:szCs w:val="21"/>
              </w:rPr>
            </w:pPr>
          </w:p>
        </w:tc>
      </w:tr>
      <w:tr w14:paraId="3016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B9F4B90">
            <w:pPr>
              <w:spacing w:line="400" w:lineRule="exact"/>
              <w:jc w:val="left"/>
              <w:rPr>
                <w:rFonts w:hint="eastAsia" w:ascii="宋体" w:hAnsi="宋体" w:cs="宋体"/>
                <w:kern w:val="0"/>
                <w:sz w:val="21"/>
                <w:szCs w:val="21"/>
              </w:rPr>
            </w:pPr>
          </w:p>
        </w:tc>
        <w:tc>
          <w:tcPr>
            <w:tcW w:w="592" w:type="pct"/>
            <w:vMerge w:val="continue"/>
            <w:vAlign w:val="center"/>
          </w:tcPr>
          <w:p w14:paraId="4922989F">
            <w:pPr>
              <w:spacing w:line="400" w:lineRule="exact"/>
              <w:jc w:val="left"/>
              <w:rPr>
                <w:rFonts w:hint="eastAsia" w:ascii="宋体" w:hAnsi="宋体" w:cs="宋体"/>
                <w:kern w:val="0"/>
                <w:sz w:val="21"/>
                <w:szCs w:val="21"/>
              </w:rPr>
            </w:pPr>
          </w:p>
        </w:tc>
        <w:tc>
          <w:tcPr>
            <w:tcW w:w="2432" w:type="pct"/>
            <w:vAlign w:val="center"/>
          </w:tcPr>
          <w:p w14:paraId="4F45E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3、临床端查看：临床端医生可对质控人员要求修改的病历问题进行查看和修改，如果对质控结果存在异议可在线进行申诉。</w:t>
            </w:r>
          </w:p>
        </w:tc>
        <w:tc>
          <w:tcPr>
            <w:tcW w:w="711" w:type="pct"/>
            <w:vAlign w:val="center"/>
          </w:tcPr>
          <w:p w14:paraId="7CFCB682">
            <w:pPr>
              <w:spacing w:line="400" w:lineRule="exact"/>
              <w:jc w:val="left"/>
              <w:rPr>
                <w:rFonts w:hint="eastAsia" w:ascii="宋体" w:hAnsi="宋体" w:cs="宋体"/>
                <w:kern w:val="0"/>
                <w:sz w:val="21"/>
                <w:szCs w:val="21"/>
              </w:rPr>
            </w:pPr>
          </w:p>
        </w:tc>
        <w:tc>
          <w:tcPr>
            <w:tcW w:w="545" w:type="pct"/>
            <w:vAlign w:val="center"/>
          </w:tcPr>
          <w:p w14:paraId="7A39BB1D">
            <w:pPr>
              <w:spacing w:line="400" w:lineRule="exact"/>
              <w:jc w:val="left"/>
              <w:rPr>
                <w:rFonts w:hint="eastAsia" w:ascii="宋体" w:hAnsi="宋体" w:cs="宋体"/>
                <w:kern w:val="0"/>
                <w:sz w:val="21"/>
                <w:szCs w:val="21"/>
              </w:rPr>
            </w:pPr>
          </w:p>
        </w:tc>
      </w:tr>
      <w:tr w14:paraId="33EE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5E983DCD">
            <w:pPr>
              <w:spacing w:line="400" w:lineRule="exact"/>
              <w:jc w:val="left"/>
              <w:rPr>
                <w:rFonts w:hint="eastAsia" w:ascii="宋体" w:hAnsi="宋体" w:cs="宋体"/>
                <w:kern w:val="0"/>
                <w:sz w:val="21"/>
                <w:szCs w:val="21"/>
              </w:rPr>
            </w:pPr>
          </w:p>
        </w:tc>
        <w:tc>
          <w:tcPr>
            <w:tcW w:w="592" w:type="pct"/>
            <w:vMerge w:val="continue"/>
            <w:vAlign w:val="center"/>
          </w:tcPr>
          <w:p w14:paraId="1187D970">
            <w:pPr>
              <w:spacing w:line="400" w:lineRule="exact"/>
              <w:jc w:val="left"/>
              <w:rPr>
                <w:rFonts w:hint="eastAsia" w:ascii="宋体" w:hAnsi="宋体" w:cs="宋体"/>
                <w:kern w:val="0"/>
                <w:sz w:val="21"/>
                <w:szCs w:val="21"/>
              </w:rPr>
            </w:pPr>
          </w:p>
        </w:tc>
        <w:tc>
          <w:tcPr>
            <w:tcW w:w="2432" w:type="pct"/>
            <w:vAlign w:val="center"/>
          </w:tcPr>
          <w:p w14:paraId="23AD49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4、质控员确认：支持质控员按缺陷申诉情况查看病历，并对医生申诉的缺陷进行再次确认通过或再次编辑回复修改建议。</w:t>
            </w:r>
          </w:p>
        </w:tc>
        <w:tc>
          <w:tcPr>
            <w:tcW w:w="711" w:type="pct"/>
            <w:vAlign w:val="center"/>
          </w:tcPr>
          <w:p w14:paraId="2E082A7F">
            <w:pPr>
              <w:spacing w:line="400" w:lineRule="exact"/>
              <w:jc w:val="left"/>
              <w:rPr>
                <w:rFonts w:hint="eastAsia" w:ascii="宋体" w:hAnsi="宋体" w:cs="宋体"/>
                <w:kern w:val="0"/>
                <w:sz w:val="21"/>
                <w:szCs w:val="21"/>
              </w:rPr>
            </w:pPr>
          </w:p>
        </w:tc>
        <w:tc>
          <w:tcPr>
            <w:tcW w:w="545" w:type="pct"/>
            <w:vAlign w:val="center"/>
          </w:tcPr>
          <w:p w14:paraId="26476E19">
            <w:pPr>
              <w:spacing w:line="400" w:lineRule="exact"/>
              <w:jc w:val="left"/>
              <w:rPr>
                <w:rFonts w:hint="eastAsia" w:ascii="宋体" w:hAnsi="宋体" w:cs="宋体"/>
                <w:kern w:val="0"/>
                <w:sz w:val="21"/>
                <w:szCs w:val="21"/>
              </w:rPr>
            </w:pPr>
          </w:p>
        </w:tc>
      </w:tr>
      <w:tr w14:paraId="1228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08F055AE">
            <w:pPr>
              <w:pStyle w:val="30"/>
              <w:numPr>
                <w:ilvl w:val="0"/>
                <w:numId w:val="0"/>
              </w:numPr>
              <w:spacing w:line="400" w:lineRule="exact"/>
              <w:ind w:left="0" w:leftChars="0" w:firstLine="0" w:firstLineChars="0"/>
              <w:rPr>
                <w:rFonts w:hint="eastAsia" w:ascii="宋体" w:hAnsi="宋体" w:eastAsia="宋体" w:cs="宋体"/>
                <w:kern w:val="0"/>
                <w:sz w:val="21"/>
                <w:szCs w:val="21"/>
              </w:rPr>
            </w:pPr>
            <w:r>
              <w:rPr>
                <w:rFonts w:hint="default" w:ascii="宋体" w:hAnsi="宋体" w:eastAsia="宋体" w:cs="宋体"/>
                <w:b/>
                <w:bCs/>
                <w:kern w:val="0"/>
                <w:sz w:val="21"/>
                <w:szCs w:val="21"/>
                <w:lang w:val="en-US" w:eastAsia="zh-CN" w:bidi="ar-SA"/>
              </w:rPr>
              <w:t>9.</w:t>
            </w:r>
            <w:r>
              <w:rPr>
                <w:rFonts w:hint="eastAsia" w:cs="宋体" w:asciiTheme="minorEastAsia" w:hAnsiTheme="minorEastAsia"/>
                <w:b/>
                <w:bCs/>
                <w:kern w:val="0"/>
                <w:sz w:val="21"/>
                <w:szCs w:val="21"/>
              </w:rPr>
              <w:t>住院病历质控统计分析平台</w:t>
            </w:r>
          </w:p>
        </w:tc>
        <w:tc>
          <w:tcPr>
            <w:tcW w:w="592" w:type="pct"/>
            <w:vMerge w:val="restart"/>
            <w:vAlign w:val="center"/>
          </w:tcPr>
          <w:p w14:paraId="07139D5A">
            <w:pPr>
              <w:spacing w:line="400" w:lineRule="exact"/>
              <w:jc w:val="center"/>
              <w:rPr>
                <w:rFonts w:hint="eastAsia" w:ascii="宋体" w:hAnsi="宋体" w:cs="宋体"/>
                <w:kern w:val="0"/>
                <w:sz w:val="21"/>
                <w:szCs w:val="21"/>
              </w:rPr>
            </w:pPr>
            <w:r>
              <w:rPr>
                <w:rFonts w:hint="eastAsia" w:ascii="宋体" w:hAnsi="宋体" w:cs="宋体"/>
                <w:kern w:val="0"/>
                <w:sz w:val="21"/>
                <w:szCs w:val="21"/>
              </w:rPr>
              <w:t>工作台</w:t>
            </w:r>
          </w:p>
        </w:tc>
        <w:tc>
          <w:tcPr>
            <w:tcW w:w="2432" w:type="pct"/>
            <w:vAlign w:val="center"/>
          </w:tcPr>
          <w:p w14:paraId="16882E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▲支持查看个人本年工作情况总览，包括本年运行质控审核病历数、本年终末质控审核病历数、本年任务完成或关闭的病历数及完成率、本年任务未完成的病历数及任务率等。</w:t>
            </w:r>
          </w:p>
        </w:tc>
        <w:tc>
          <w:tcPr>
            <w:tcW w:w="711" w:type="pct"/>
            <w:vAlign w:val="center"/>
          </w:tcPr>
          <w:p w14:paraId="7F08ED16">
            <w:pPr>
              <w:spacing w:line="400" w:lineRule="exact"/>
              <w:jc w:val="left"/>
              <w:rPr>
                <w:rFonts w:hint="eastAsia" w:ascii="宋体" w:hAnsi="宋体" w:cs="宋体"/>
                <w:kern w:val="0"/>
                <w:sz w:val="21"/>
                <w:szCs w:val="21"/>
              </w:rPr>
            </w:pPr>
          </w:p>
        </w:tc>
        <w:tc>
          <w:tcPr>
            <w:tcW w:w="545" w:type="pct"/>
            <w:vAlign w:val="center"/>
          </w:tcPr>
          <w:p w14:paraId="4DD516CD">
            <w:pPr>
              <w:spacing w:line="400" w:lineRule="exact"/>
              <w:jc w:val="left"/>
              <w:rPr>
                <w:rFonts w:hint="eastAsia" w:ascii="宋体" w:hAnsi="宋体" w:cs="宋体"/>
                <w:kern w:val="0"/>
                <w:sz w:val="21"/>
                <w:szCs w:val="21"/>
              </w:rPr>
            </w:pPr>
          </w:p>
        </w:tc>
      </w:tr>
      <w:tr w14:paraId="7A22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37DC60F">
            <w:pPr>
              <w:spacing w:line="400" w:lineRule="exact"/>
              <w:jc w:val="left"/>
              <w:rPr>
                <w:rFonts w:hint="eastAsia" w:ascii="宋体" w:hAnsi="宋体" w:cs="宋体"/>
                <w:kern w:val="0"/>
                <w:sz w:val="21"/>
                <w:szCs w:val="21"/>
              </w:rPr>
            </w:pPr>
          </w:p>
        </w:tc>
        <w:tc>
          <w:tcPr>
            <w:tcW w:w="592" w:type="pct"/>
            <w:vMerge w:val="continue"/>
            <w:vAlign w:val="center"/>
          </w:tcPr>
          <w:p w14:paraId="0B23EC78">
            <w:pPr>
              <w:spacing w:line="400" w:lineRule="exact"/>
              <w:jc w:val="center"/>
              <w:rPr>
                <w:rFonts w:hint="eastAsia" w:ascii="宋体" w:hAnsi="宋体" w:cs="宋体"/>
                <w:kern w:val="0"/>
                <w:sz w:val="21"/>
                <w:szCs w:val="21"/>
              </w:rPr>
            </w:pPr>
          </w:p>
        </w:tc>
        <w:tc>
          <w:tcPr>
            <w:tcW w:w="2432" w:type="pct"/>
            <w:vAlign w:val="center"/>
          </w:tcPr>
          <w:p w14:paraId="7C336D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我创建的评价任务：支持查看我创建的未完成任务列表及任务剩余天数，并以柱状图展示各质控员未完成任务的情况。</w:t>
            </w:r>
          </w:p>
        </w:tc>
        <w:tc>
          <w:tcPr>
            <w:tcW w:w="711" w:type="pct"/>
            <w:vAlign w:val="center"/>
          </w:tcPr>
          <w:p w14:paraId="2328BB52">
            <w:pPr>
              <w:spacing w:line="400" w:lineRule="exact"/>
              <w:jc w:val="left"/>
              <w:rPr>
                <w:rFonts w:hint="eastAsia" w:ascii="宋体" w:hAnsi="宋体" w:cs="宋体"/>
                <w:kern w:val="0"/>
                <w:sz w:val="21"/>
                <w:szCs w:val="21"/>
              </w:rPr>
            </w:pPr>
          </w:p>
        </w:tc>
        <w:tc>
          <w:tcPr>
            <w:tcW w:w="545" w:type="pct"/>
            <w:vAlign w:val="center"/>
          </w:tcPr>
          <w:p w14:paraId="2AB39F37">
            <w:pPr>
              <w:spacing w:line="400" w:lineRule="exact"/>
              <w:jc w:val="left"/>
              <w:rPr>
                <w:rFonts w:hint="eastAsia" w:ascii="宋体" w:hAnsi="宋体" w:cs="宋体"/>
                <w:kern w:val="0"/>
                <w:sz w:val="21"/>
                <w:szCs w:val="21"/>
              </w:rPr>
            </w:pPr>
          </w:p>
        </w:tc>
      </w:tr>
      <w:tr w14:paraId="3A07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92D4D11">
            <w:pPr>
              <w:spacing w:line="400" w:lineRule="exact"/>
              <w:jc w:val="left"/>
              <w:rPr>
                <w:rFonts w:hint="eastAsia" w:ascii="宋体" w:hAnsi="宋体" w:cs="宋体"/>
                <w:kern w:val="0"/>
                <w:sz w:val="21"/>
                <w:szCs w:val="21"/>
              </w:rPr>
            </w:pPr>
          </w:p>
        </w:tc>
        <w:tc>
          <w:tcPr>
            <w:tcW w:w="592" w:type="pct"/>
            <w:vMerge w:val="continue"/>
            <w:vAlign w:val="center"/>
          </w:tcPr>
          <w:p w14:paraId="49F24AB5">
            <w:pPr>
              <w:spacing w:line="400" w:lineRule="exact"/>
              <w:jc w:val="center"/>
              <w:rPr>
                <w:rFonts w:hint="eastAsia" w:ascii="宋体" w:hAnsi="宋体" w:cs="宋体"/>
                <w:kern w:val="0"/>
                <w:sz w:val="21"/>
                <w:szCs w:val="21"/>
              </w:rPr>
            </w:pPr>
          </w:p>
        </w:tc>
        <w:tc>
          <w:tcPr>
            <w:tcW w:w="2432" w:type="pct"/>
            <w:vAlign w:val="center"/>
          </w:tcPr>
          <w:p w14:paraId="6F28F1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待我执行的任务：支持查看我未完成的任务列表、运行待评价的任务列表、终末待评价的任务列表，可下钻到详细的病历列表及病历详情。</w:t>
            </w:r>
          </w:p>
        </w:tc>
        <w:tc>
          <w:tcPr>
            <w:tcW w:w="711" w:type="pct"/>
            <w:vAlign w:val="center"/>
          </w:tcPr>
          <w:p w14:paraId="67321774">
            <w:pPr>
              <w:spacing w:line="400" w:lineRule="exact"/>
              <w:jc w:val="left"/>
              <w:rPr>
                <w:rFonts w:hint="eastAsia" w:ascii="宋体" w:hAnsi="宋体" w:cs="宋体"/>
                <w:kern w:val="0"/>
                <w:sz w:val="21"/>
                <w:szCs w:val="21"/>
              </w:rPr>
            </w:pPr>
          </w:p>
        </w:tc>
        <w:tc>
          <w:tcPr>
            <w:tcW w:w="545" w:type="pct"/>
            <w:vAlign w:val="center"/>
          </w:tcPr>
          <w:p w14:paraId="19F1D970">
            <w:pPr>
              <w:spacing w:line="400" w:lineRule="exact"/>
              <w:jc w:val="left"/>
              <w:rPr>
                <w:rFonts w:hint="eastAsia" w:ascii="宋体" w:hAnsi="宋体" w:cs="宋体"/>
                <w:kern w:val="0"/>
                <w:sz w:val="21"/>
                <w:szCs w:val="21"/>
              </w:rPr>
            </w:pPr>
          </w:p>
        </w:tc>
      </w:tr>
      <w:tr w14:paraId="6F00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4A74FE1">
            <w:pPr>
              <w:spacing w:line="400" w:lineRule="exact"/>
              <w:jc w:val="left"/>
              <w:rPr>
                <w:rFonts w:hint="eastAsia" w:ascii="宋体" w:hAnsi="宋体" w:cs="宋体"/>
                <w:kern w:val="0"/>
                <w:sz w:val="21"/>
                <w:szCs w:val="21"/>
              </w:rPr>
            </w:pPr>
          </w:p>
        </w:tc>
        <w:tc>
          <w:tcPr>
            <w:tcW w:w="592" w:type="pct"/>
            <w:vMerge w:val="continue"/>
            <w:vAlign w:val="center"/>
          </w:tcPr>
          <w:p w14:paraId="41B03FB5">
            <w:pPr>
              <w:spacing w:line="400" w:lineRule="exact"/>
              <w:jc w:val="center"/>
              <w:rPr>
                <w:rFonts w:hint="eastAsia" w:ascii="宋体" w:hAnsi="宋体" w:cs="宋体"/>
                <w:kern w:val="0"/>
                <w:sz w:val="21"/>
                <w:szCs w:val="21"/>
              </w:rPr>
            </w:pPr>
          </w:p>
        </w:tc>
        <w:tc>
          <w:tcPr>
            <w:tcW w:w="2432" w:type="pct"/>
            <w:vAlign w:val="center"/>
          </w:tcPr>
          <w:p w14:paraId="2188DB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我的运行/终末病历质控：支持查看在院/出院的病历数、关注的重点病历、重点问题列表，并支持自定义配置关注的重点病历、重点问题列表。</w:t>
            </w:r>
          </w:p>
        </w:tc>
        <w:tc>
          <w:tcPr>
            <w:tcW w:w="711" w:type="pct"/>
            <w:vAlign w:val="center"/>
          </w:tcPr>
          <w:p w14:paraId="306B5389">
            <w:pPr>
              <w:spacing w:line="400" w:lineRule="exact"/>
              <w:jc w:val="left"/>
              <w:rPr>
                <w:rFonts w:hint="eastAsia" w:ascii="宋体" w:hAnsi="宋体" w:cs="宋体"/>
                <w:kern w:val="0"/>
                <w:sz w:val="21"/>
                <w:szCs w:val="21"/>
              </w:rPr>
            </w:pPr>
          </w:p>
        </w:tc>
        <w:tc>
          <w:tcPr>
            <w:tcW w:w="545" w:type="pct"/>
            <w:vAlign w:val="center"/>
          </w:tcPr>
          <w:p w14:paraId="73FA0E61">
            <w:pPr>
              <w:spacing w:line="400" w:lineRule="exact"/>
              <w:jc w:val="left"/>
              <w:rPr>
                <w:rFonts w:hint="eastAsia" w:ascii="宋体" w:hAnsi="宋体" w:cs="宋体"/>
                <w:kern w:val="0"/>
                <w:sz w:val="21"/>
                <w:szCs w:val="21"/>
              </w:rPr>
            </w:pPr>
          </w:p>
        </w:tc>
      </w:tr>
      <w:tr w14:paraId="6C1D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3CDD54F">
            <w:pPr>
              <w:spacing w:line="400" w:lineRule="exact"/>
              <w:jc w:val="left"/>
              <w:rPr>
                <w:rFonts w:hint="eastAsia" w:ascii="宋体" w:hAnsi="宋体" w:cs="宋体"/>
                <w:kern w:val="0"/>
                <w:sz w:val="21"/>
                <w:szCs w:val="21"/>
              </w:rPr>
            </w:pPr>
          </w:p>
        </w:tc>
        <w:tc>
          <w:tcPr>
            <w:tcW w:w="592" w:type="pct"/>
            <w:vMerge w:val="continue"/>
            <w:vAlign w:val="center"/>
          </w:tcPr>
          <w:p w14:paraId="3A7D288B">
            <w:pPr>
              <w:spacing w:line="400" w:lineRule="exact"/>
              <w:jc w:val="center"/>
              <w:rPr>
                <w:rFonts w:hint="eastAsia" w:ascii="宋体" w:hAnsi="宋体" w:cs="宋体"/>
                <w:kern w:val="0"/>
                <w:sz w:val="21"/>
                <w:szCs w:val="21"/>
              </w:rPr>
            </w:pPr>
          </w:p>
        </w:tc>
        <w:tc>
          <w:tcPr>
            <w:tcW w:w="2432" w:type="pct"/>
            <w:vAlign w:val="center"/>
          </w:tcPr>
          <w:p w14:paraId="6E8925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自定义配置工作台：支持对工作台展示的内容进行自定义维护。</w:t>
            </w:r>
          </w:p>
        </w:tc>
        <w:tc>
          <w:tcPr>
            <w:tcW w:w="711" w:type="pct"/>
            <w:vAlign w:val="center"/>
          </w:tcPr>
          <w:p w14:paraId="46059822">
            <w:pPr>
              <w:spacing w:line="400" w:lineRule="exact"/>
              <w:jc w:val="left"/>
              <w:rPr>
                <w:rFonts w:hint="eastAsia" w:ascii="宋体" w:hAnsi="宋体" w:cs="宋体"/>
                <w:kern w:val="0"/>
                <w:sz w:val="21"/>
                <w:szCs w:val="21"/>
              </w:rPr>
            </w:pPr>
          </w:p>
        </w:tc>
        <w:tc>
          <w:tcPr>
            <w:tcW w:w="545" w:type="pct"/>
            <w:vAlign w:val="center"/>
          </w:tcPr>
          <w:p w14:paraId="40FF52C9">
            <w:pPr>
              <w:spacing w:line="400" w:lineRule="exact"/>
              <w:jc w:val="left"/>
              <w:rPr>
                <w:rFonts w:hint="eastAsia" w:ascii="宋体" w:hAnsi="宋体" w:cs="宋体"/>
                <w:kern w:val="0"/>
                <w:sz w:val="21"/>
                <w:szCs w:val="21"/>
              </w:rPr>
            </w:pPr>
          </w:p>
        </w:tc>
      </w:tr>
      <w:tr w14:paraId="1611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6E216579">
            <w:pPr>
              <w:spacing w:line="400" w:lineRule="exact"/>
              <w:jc w:val="left"/>
              <w:rPr>
                <w:rFonts w:hint="eastAsia" w:ascii="宋体" w:hAnsi="宋体" w:cs="宋体"/>
                <w:kern w:val="0"/>
                <w:sz w:val="21"/>
                <w:szCs w:val="21"/>
              </w:rPr>
            </w:pPr>
          </w:p>
        </w:tc>
        <w:tc>
          <w:tcPr>
            <w:tcW w:w="592" w:type="pct"/>
            <w:vMerge w:val="restart"/>
            <w:vAlign w:val="center"/>
          </w:tcPr>
          <w:p w14:paraId="123ECCCB">
            <w:pPr>
              <w:spacing w:line="400" w:lineRule="exact"/>
              <w:jc w:val="center"/>
              <w:rPr>
                <w:rFonts w:hint="eastAsia" w:ascii="宋体" w:hAnsi="宋体" w:cs="宋体"/>
                <w:kern w:val="0"/>
                <w:sz w:val="21"/>
                <w:szCs w:val="21"/>
              </w:rPr>
            </w:pPr>
            <w:r>
              <w:rPr>
                <w:rFonts w:hint="eastAsia" w:ascii="宋体" w:hAnsi="宋体" w:cs="宋体"/>
                <w:kern w:val="0"/>
                <w:sz w:val="21"/>
                <w:szCs w:val="21"/>
              </w:rPr>
              <w:t>整体分析</w:t>
            </w:r>
          </w:p>
        </w:tc>
        <w:tc>
          <w:tcPr>
            <w:tcW w:w="2432" w:type="pct"/>
            <w:vAlign w:val="center"/>
          </w:tcPr>
          <w:p w14:paraId="0E4348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1、在院监测</w:t>
            </w:r>
          </w:p>
          <w:p w14:paraId="464934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（1）支持查看当前在院病历的在院病历数、问题病历数、问题总数、平均问题数、病历平均分，并支持下钻到当前病历数的详细病历列表；</w:t>
            </w:r>
          </w:p>
          <w:p w14:paraId="016095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（2）支持对全院在院病例的病历质控情况进行实时监测，以柱状图、折线图、饼图、列表等直观展示在院病历质量、质控管理情况，包括科室问题病历分布、病历等级、在院问题占比TOP 10、及时性完成情况、问题类型分布、及时性问题排名、问题文书排名、病历质控率趋势等。</w:t>
            </w:r>
          </w:p>
        </w:tc>
        <w:tc>
          <w:tcPr>
            <w:tcW w:w="711" w:type="pct"/>
            <w:vAlign w:val="center"/>
          </w:tcPr>
          <w:p w14:paraId="101C1490">
            <w:pPr>
              <w:spacing w:line="400" w:lineRule="exact"/>
              <w:jc w:val="left"/>
              <w:rPr>
                <w:rFonts w:hint="eastAsia" w:ascii="宋体" w:hAnsi="宋体" w:cs="宋体"/>
                <w:kern w:val="0"/>
                <w:sz w:val="21"/>
                <w:szCs w:val="21"/>
              </w:rPr>
            </w:pPr>
          </w:p>
        </w:tc>
        <w:tc>
          <w:tcPr>
            <w:tcW w:w="545" w:type="pct"/>
            <w:vAlign w:val="center"/>
          </w:tcPr>
          <w:p w14:paraId="082CB7DB">
            <w:pPr>
              <w:spacing w:line="400" w:lineRule="exact"/>
              <w:jc w:val="left"/>
              <w:rPr>
                <w:rFonts w:hint="eastAsia" w:ascii="宋体" w:hAnsi="宋体" w:cs="宋体"/>
                <w:kern w:val="0"/>
                <w:sz w:val="21"/>
                <w:szCs w:val="21"/>
              </w:rPr>
            </w:pPr>
          </w:p>
        </w:tc>
      </w:tr>
      <w:tr w14:paraId="7672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56C305A7">
            <w:pPr>
              <w:spacing w:line="400" w:lineRule="exact"/>
              <w:jc w:val="left"/>
              <w:rPr>
                <w:rFonts w:hint="eastAsia" w:ascii="宋体" w:hAnsi="宋体" w:cs="宋体"/>
                <w:kern w:val="0"/>
                <w:sz w:val="21"/>
                <w:szCs w:val="21"/>
              </w:rPr>
            </w:pPr>
          </w:p>
        </w:tc>
        <w:tc>
          <w:tcPr>
            <w:tcW w:w="592" w:type="pct"/>
            <w:vMerge w:val="continue"/>
            <w:vAlign w:val="center"/>
          </w:tcPr>
          <w:p w14:paraId="12BCBB8D">
            <w:pPr>
              <w:spacing w:line="400" w:lineRule="exact"/>
              <w:jc w:val="left"/>
              <w:rPr>
                <w:rFonts w:hint="eastAsia" w:ascii="宋体" w:hAnsi="宋体" w:cs="宋体"/>
                <w:kern w:val="0"/>
                <w:sz w:val="21"/>
                <w:szCs w:val="21"/>
              </w:rPr>
            </w:pPr>
          </w:p>
        </w:tc>
        <w:tc>
          <w:tcPr>
            <w:tcW w:w="2432" w:type="pct"/>
            <w:vAlign w:val="center"/>
          </w:tcPr>
          <w:p w14:paraId="6D73C8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2、出院分析</w:t>
            </w:r>
          </w:p>
          <w:p w14:paraId="0DE253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（1）支持按“今年、去年、本季、上季、本月、上月”快捷按钮或者“年度、季度、月份”维度自定义对病历的质控情况进行多维度统计分析。</w:t>
            </w:r>
          </w:p>
          <w:p w14:paraId="3EA23E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（2）支持查看当前医院的病历总数、问题病历数、病历平均分、平均问题数，且需包括各指标的环比、同比（年）；</w:t>
            </w:r>
          </w:p>
          <w:p w14:paraId="714023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支持查看当前医院的病历等级、病历质量、病历问题、问题修正率、病历质控等情况，并以折线图、饼图、列表等形式直观展示，包括不仅限于病历级别分布、病历质量趋势分析、科室平均问题数排名、病历问题TOP 10、及时性问题TOP 5、质控点类型分布、问题修正率、质控率占比、质控管理情况等。</w:t>
            </w:r>
          </w:p>
        </w:tc>
        <w:tc>
          <w:tcPr>
            <w:tcW w:w="711" w:type="pct"/>
            <w:vAlign w:val="center"/>
          </w:tcPr>
          <w:p w14:paraId="0094ADE7">
            <w:pPr>
              <w:spacing w:line="400" w:lineRule="exact"/>
              <w:jc w:val="left"/>
              <w:rPr>
                <w:rFonts w:hint="eastAsia" w:ascii="宋体" w:hAnsi="宋体" w:cs="宋体"/>
                <w:kern w:val="0"/>
                <w:sz w:val="21"/>
                <w:szCs w:val="21"/>
              </w:rPr>
            </w:pPr>
          </w:p>
        </w:tc>
        <w:tc>
          <w:tcPr>
            <w:tcW w:w="545" w:type="pct"/>
            <w:vAlign w:val="center"/>
          </w:tcPr>
          <w:p w14:paraId="542FCB50">
            <w:pPr>
              <w:spacing w:line="400" w:lineRule="exact"/>
              <w:jc w:val="left"/>
              <w:rPr>
                <w:rFonts w:hint="eastAsia" w:ascii="宋体" w:hAnsi="宋体" w:cs="宋体"/>
                <w:kern w:val="0"/>
                <w:sz w:val="21"/>
                <w:szCs w:val="21"/>
              </w:rPr>
            </w:pPr>
          </w:p>
        </w:tc>
      </w:tr>
      <w:tr w14:paraId="16AA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12CE2EB">
            <w:pPr>
              <w:spacing w:line="400" w:lineRule="exact"/>
              <w:jc w:val="left"/>
              <w:rPr>
                <w:rFonts w:hint="eastAsia" w:ascii="宋体" w:hAnsi="宋体" w:cs="宋体"/>
                <w:kern w:val="0"/>
                <w:sz w:val="21"/>
                <w:szCs w:val="21"/>
              </w:rPr>
            </w:pPr>
          </w:p>
        </w:tc>
        <w:tc>
          <w:tcPr>
            <w:tcW w:w="592" w:type="pct"/>
            <w:vAlign w:val="center"/>
          </w:tcPr>
          <w:p w14:paraId="020A1602">
            <w:pPr>
              <w:spacing w:line="400" w:lineRule="exact"/>
              <w:jc w:val="center"/>
              <w:rPr>
                <w:rFonts w:hint="eastAsia" w:ascii="宋体" w:hAnsi="宋体" w:cs="宋体"/>
                <w:kern w:val="0"/>
                <w:sz w:val="21"/>
                <w:szCs w:val="21"/>
              </w:rPr>
            </w:pPr>
            <w:r>
              <w:rPr>
                <w:rFonts w:hint="eastAsia" w:ascii="宋体" w:hAnsi="宋体" w:cs="宋体"/>
                <w:kern w:val="0"/>
                <w:sz w:val="21"/>
                <w:szCs w:val="21"/>
              </w:rPr>
              <w:t>运行质控分析</w:t>
            </w:r>
          </w:p>
        </w:tc>
        <w:tc>
          <w:tcPr>
            <w:tcW w:w="2432" w:type="pct"/>
            <w:vAlign w:val="center"/>
          </w:tcPr>
          <w:p w14:paraId="57FB0C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支持按年度、季度、月、自定义时间对运行病历质控情况进行可视化、多维度统计分析展示，满足医院质控管理者快速了解全院运行病历质量情况。包括：</w:t>
            </w:r>
          </w:p>
          <w:p w14:paraId="65D274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1、评分表分析：支持以表格的形式，对医院各科室/医疗组/医生的运行病历评分情况进行统计分析，包括病历数、平均分、问题数、平均问题数、人工平均问题数、机器平均问题数；</w:t>
            </w:r>
          </w:p>
          <w:p w14:paraId="5247B1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人工抽查分析：支持以趋势图、柱状图、表格多种形式展示医院病历质控评价情况，按科室质控分析、医疗组质控分析、医生质控分析、科室评价分析、医疗组评价分析、医生评价分析进行统计分析，包括在院病历数、审核病历数、病历质控率等，支持下钻到详细病历列表。</w:t>
            </w:r>
          </w:p>
          <w:p w14:paraId="2368B2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3、缺陷责任分析：支持按缺陷科室、缺陷医生维度查看全院运行病历缺陷问题情况及问题修改情况，包括触发问题数、现场问题数、现存问题率、修正问题数、问题修正率。</w:t>
            </w:r>
          </w:p>
          <w:p w14:paraId="029AA3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4、工作量分析：支持以图形、表格对机器质控、科室质控、专家质控、医生质控的病历数、质控占比、质控问题数等工作情况进行统计分析。</w:t>
            </w:r>
          </w:p>
        </w:tc>
        <w:tc>
          <w:tcPr>
            <w:tcW w:w="711" w:type="pct"/>
            <w:vAlign w:val="center"/>
          </w:tcPr>
          <w:p w14:paraId="0E9C218A">
            <w:pPr>
              <w:spacing w:line="400" w:lineRule="exact"/>
              <w:jc w:val="left"/>
              <w:rPr>
                <w:rFonts w:hint="eastAsia" w:ascii="宋体" w:hAnsi="宋体" w:cs="宋体"/>
                <w:kern w:val="0"/>
                <w:sz w:val="21"/>
                <w:szCs w:val="21"/>
              </w:rPr>
            </w:pPr>
          </w:p>
        </w:tc>
        <w:tc>
          <w:tcPr>
            <w:tcW w:w="545" w:type="pct"/>
            <w:vAlign w:val="center"/>
          </w:tcPr>
          <w:p w14:paraId="31D46308">
            <w:pPr>
              <w:spacing w:line="400" w:lineRule="exact"/>
              <w:jc w:val="left"/>
              <w:rPr>
                <w:rFonts w:hint="eastAsia" w:ascii="宋体" w:hAnsi="宋体" w:cs="宋体"/>
                <w:kern w:val="0"/>
                <w:sz w:val="21"/>
                <w:szCs w:val="21"/>
              </w:rPr>
            </w:pPr>
          </w:p>
        </w:tc>
      </w:tr>
      <w:tr w14:paraId="1716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5" w:hRule="atLeast"/>
          <w:jc w:val="center"/>
        </w:trPr>
        <w:tc>
          <w:tcPr>
            <w:tcW w:w="717" w:type="pct"/>
            <w:vMerge w:val="continue"/>
            <w:vAlign w:val="center"/>
          </w:tcPr>
          <w:p w14:paraId="61A97FE1">
            <w:pPr>
              <w:spacing w:line="400" w:lineRule="exact"/>
              <w:jc w:val="left"/>
              <w:rPr>
                <w:rFonts w:hint="eastAsia" w:ascii="宋体" w:hAnsi="宋体" w:cs="宋体"/>
                <w:kern w:val="0"/>
                <w:sz w:val="21"/>
                <w:szCs w:val="21"/>
              </w:rPr>
            </w:pPr>
          </w:p>
        </w:tc>
        <w:tc>
          <w:tcPr>
            <w:tcW w:w="592" w:type="pct"/>
            <w:vAlign w:val="center"/>
          </w:tcPr>
          <w:p w14:paraId="3E9BCBE0">
            <w:pPr>
              <w:spacing w:line="400" w:lineRule="exact"/>
              <w:jc w:val="center"/>
              <w:rPr>
                <w:rFonts w:hint="eastAsia" w:ascii="宋体" w:hAnsi="宋体" w:cs="宋体"/>
                <w:kern w:val="0"/>
                <w:sz w:val="21"/>
                <w:szCs w:val="21"/>
              </w:rPr>
            </w:pPr>
            <w:r>
              <w:rPr>
                <w:rFonts w:hint="eastAsia" w:ascii="宋体" w:hAnsi="宋体" w:cs="宋体"/>
                <w:kern w:val="0"/>
                <w:sz w:val="21"/>
                <w:szCs w:val="21"/>
              </w:rPr>
              <w:t>终末质控分析</w:t>
            </w:r>
          </w:p>
        </w:tc>
        <w:tc>
          <w:tcPr>
            <w:tcW w:w="2432" w:type="pct"/>
            <w:vAlign w:val="center"/>
          </w:tcPr>
          <w:p w14:paraId="79E921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支持按年度、季度、月、自定义时间对终末病历质控情况进行可视化、多维度统计分析展示，满足医院质控管理者快速了解全院终末病历质量情况。包括：</w:t>
            </w:r>
          </w:p>
          <w:p w14:paraId="7FC080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1、质量分析：</w:t>
            </w:r>
          </w:p>
          <w:p w14:paraId="17058F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科室/医疗组/医生质量分析：支持以趋势图、柱状图、表格多种形式展示各科室/医疗组/医生的病历质量情况，包括不仅限于病历数、问题病历数、现存问题数、修正问题数、问题修正率、病历平均分、平均问题数等。</w:t>
            </w:r>
          </w:p>
          <w:p w14:paraId="4B5E7F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▲（2）问题分析：支持查看终末病历的缺陷问题明细列表，点击缺陷问题可下钻到问题分析详情，包括按科室/医疗组/医生展示缺陷问题发生的病历数、失败率、修正病历数、问题修正率。</w:t>
            </w:r>
          </w:p>
          <w:p w14:paraId="03561F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2、评分表分析：支持以表格的形式，对各科室/医疗组/医生的总体病历评分情况进行统计分析，包括病历数、病历平均分、甲/乙/丙级病历占比等。</w:t>
            </w:r>
          </w:p>
          <w:p w14:paraId="1A099F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人工抽查分析：支持以趋势图、柱状图、表格多种形式展示医院病历质控评价情况，按科室质控分析、医疗组质控分析、医生质控分析、科室评价分析、医疗组评价分析、医生评价分析进行统计分析，包括病历数、审核病历数、病历质控率等，支持下钻到详细病历列表。</w:t>
            </w:r>
          </w:p>
          <w:p w14:paraId="7E3C2D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4、缺陷责任分析：支持按缺陷科室、缺陷医生维度查看全院终末病历缺陷问题情况及问题修改情况，包括触发问题数、现场问题数、现存问题率、修正问题数、问题修正率。</w:t>
            </w:r>
          </w:p>
          <w:p w14:paraId="65B362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5、工作量分析：支持以图形、表格对机器质控、科室质控、专家质控、医生质控的病历数、质控占比、质控问题数等工作情况进行统计分析。</w:t>
            </w:r>
          </w:p>
        </w:tc>
        <w:tc>
          <w:tcPr>
            <w:tcW w:w="711" w:type="pct"/>
            <w:vAlign w:val="center"/>
          </w:tcPr>
          <w:p w14:paraId="03468409">
            <w:pPr>
              <w:spacing w:line="400" w:lineRule="exact"/>
              <w:jc w:val="left"/>
              <w:rPr>
                <w:rFonts w:hint="eastAsia" w:ascii="宋体" w:hAnsi="宋体" w:cs="宋体"/>
                <w:kern w:val="0"/>
                <w:sz w:val="21"/>
                <w:szCs w:val="21"/>
              </w:rPr>
            </w:pPr>
          </w:p>
        </w:tc>
        <w:tc>
          <w:tcPr>
            <w:tcW w:w="545" w:type="pct"/>
            <w:vAlign w:val="center"/>
          </w:tcPr>
          <w:p w14:paraId="192981EA">
            <w:pPr>
              <w:spacing w:line="400" w:lineRule="exact"/>
              <w:jc w:val="left"/>
              <w:rPr>
                <w:rFonts w:hint="eastAsia" w:ascii="宋体" w:hAnsi="宋体" w:cs="宋体"/>
                <w:kern w:val="0"/>
                <w:sz w:val="21"/>
                <w:szCs w:val="21"/>
              </w:rPr>
            </w:pPr>
          </w:p>
        </w:tc>
      </w:tr>
      <w:tr w14:paraId="2882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50C7A4C2">
            <w:pPr>
              <w:pStyle w:val="30"/>
              <w:numPr>
                <w:ilvl w:val="0"/>
                <w:numId w:val="0"/>
              </w:numPr>
              <w:spacing w:line="400" w:lineRule="exact"/>
              <w:ind w:left="0" w:leftChars="0" w:firstLine="0" w:firstLineChars="0"/>
              <w:rPr>
                <w:rFonts w:hint="eastAsia" w:ascii="宋体" w:hAnsi="宋体" w:eastAsia="宋体" w:cs="宋体"/>
                <w:kern w:val="0"/>
                <w:sz w:val="21"/>
                <w:szCs w:val="21"/>
              </w:rPr>
            </w:pPr>
            <w:r>
              <w:rPr>
                <w:rFonts w:hint="default" w:ascii="宋体" w:hAnsi="宋体" w:eastAsia="宋体" w:cs="宋体"/>
                <w:b/>
                <w:bCs/>
                <w:kern w:val="0"/>
                <w:sz w:val="21"/>
                <w:szCs w:val="21"/>
                <w:lang w:val="en-US" w:eastAsia="zh-CN" w:bidi="ar-SA"/>
              </w:rPr>
              <w:t>10.</w:t>
            </w:r>
            <w:r>
              <w:rPr>
                <w:rFonts w:hint="eastAsia" w:cs="宋体" w:asciiTheme="minorEastAsia" w:hAnsiTheme="minorEastAsia"/>
                <w:b/>
                <w:bCs/>
                <w:kern w:val="0"/>
                <w:sz w:val="21"/>
                <w:szCs w:val="21"/>
              </w:rPr>
              <w:t>住院病历质控管理平台</w:t>
            </w:r>
          </w:p>
        </w:tc>
        <w:tc>
          <w:tcPr>
            <w:tcW w:w="592" w:type="pct"/>
            <w:vMerge w:val="restart"/>
            <w:vAlign w:val="center"/>
          </w:tcPr>
          <w:p w14:paraId="16088351">
            <w:pPr>
              <w:spacing w:line="400" w:lineRule="exact"/>
              <w:jc w:val="center"/>
              <w:rPr>
                <w:rFonts w:hint="eastAsia" w:ascii="宋体" w:hAnsi="宋体" w:cs="宋体"/>
                <w:kern w:val="0"/>
                <w:sz w:val="21"/>
                <w:szCs w:val="21"/>
              </w:rPr>
            </w:pPr>
            <w:r>
              <w:rPr>
                <w:rFonts w:hint="eastAsia" w:ascii="宋体" w:hAnsi="宋体" w:cs="宋体"/>
                <w:kern w:val="0"/>
                <w:sz w:val="21"/>
                <w:szCs w:val="21"/>
              </w:rPr>
              <w:t>质控点管理</w:t>
            </w:r>
          </w:p>
        </w:tc>
        <w:tc>
          <w:tcPr>
            <w:tcW w:w="2432" w:type="pct"/>
            <w:vAlign w:val="center"/>
          </w:tcPr>
          <w:p w14:paraId="5FA26F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1、质控点查看：支持查看医院所有质控点，包括质控点名称、质控逻辑、质控点标签、质控类型、专科类型、提醒级别、状态、是否关联评分表等；</w:t>
            </w:r>
          </w:p>
        </w:tc>
        <w:tc>
          <w:tcPr>
            <w:tcW w:w="711" w:type="pct"/>
            <w:vAlign w:val="center"/>
          </w:tcPr>
          <w:p w14:paraId="2E112E4E">
            <w:pPr>
              <w:spacing w:line="400" w:lineRule="exact"/>
              <w:jc w:val="left"/>
              <w:rPr>
                <w:rFonts w:ascii="宋体" w:hAnsi="宋体" w:cs="宋体"/>
                <w:kern w:val="0"/>
                <w:sz w:val="21"/>
                <w:szCs w:val="21"/>
              </w:rPr>
            </w:pPr>
          </w:p>
        </w:tc>
        <w:tc>
          <w:tcPr>
            <w:tcW w:w="545" w:type="pct"/>
            <w:vAlign w:val="center"/>
          </w:tcPr>
          <w:p w14:paraId="384A1058">
            <w:pPr>
              <w:spacing w:line="400" w:lineRule="exact"/>
              <w:jc w:val="left"/>
              <w:rPr>
                <w:rFonts w:ascii="宋体" w:hAnsi="宋体" w:cs="宋体"/>
                <w:kern w:val="0"/>
                <w:sz w:val="21"/>
                <w:szCs w:val="21"/>
              </w:rPr>
            </w:pPr>
          </w:p>
        </w:tc>
      </w:tr>
      <w:tr w14:paraId="36B3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B468D4A">
            <w:pPr>
              <w:spacing w:line="400" w:lineRule="exact"/>
              <w:jc w:val="left"/>
              <w:rPr>
                <w:rFonts w:hint="eastAsia" w:ascii="宋体" w:hAnsi="宋体" w:cs="宋体"/>
                <w:kern w:val="0"/>
                <w:sz w:val="21"/>
                <w:szCs w:val="21"/>
              </w:rPr>
            </w:pPr>
          </w:p>
        </w:tc>
        <w:tc>
          <w:tcPr>
            <w:tcW w:w="592" w:type="pct"/>
            <w:vMerge w:val="continue"/>
            <w:vAlign w:val="center"/>
          </w:tcPr>
          <w:p w14:paraId="5CA74E96">
            <w:pPr>
              <w:spacing w:line="400" w:lineRule="exact"/>
              <w:jc w:val="center"/>
              <w:rPr>
                <w:rFonts w:hint="eastAsia" w:ascii="宋体" w:hAnsi="宋体" w:cs="宋体"/>
                <w:kern w:val="0"/>
                <w:sz w:val="21"/>
                <w:szCs w:val="21"/>
              </w:rPr>
            </w:pPr>
          </w:p>
        </w:tc>
        <w:tc>
          <w:tcPr>
            <w:tcW w:w="2432" w:type="pct"/>
            <w:vAlign w:val="center"/>
          </w:tcPr>
          <w:p w14:paraId="197EB0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▲2、质控点维护：</w:t>
            </w:r>
          </w:p>
          <w:p w14:paraId="2C3F46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（1）支持根据医院质控需求对质控点进行开启关闭，提醒级别进行自定义配置（三级提醒：小图标/浮窗/大窗弹出卡控）；</w:t>
            </w:r>
          </w:p>
          <w:p w14:paraId="127521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（2）支持对质控点的标签名称、标签描述进行自定义设置；支持为每条质控点选择维护好的标签进行标注；支持通过质控点标签快速检索质控点。</w:t>
            </w:r>
          </w:p>
          <w:p w14:paraId="32A107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（3）支持对时效性质控点进行倒计时提醒时间的配置。如：入院记录要在24小时内完成，配置成8小时倒计时提醒，患者入院16小时后如果未书写入院记录，系统进行倒计时提醒。</w:t>
            </w:r>
          </w:p>
        </w:tc>
        <w:tc>
          <w:tcPr>
            <w:tcW w:w="711" w:type="pct"/>
            <w:vAlign w:val="center"/>
          </w:tcPr>
          <w:p w14:paraId="462ECC58">
            <w:pPr>
              <w:spacing w:line="400" w:lineRule="exact"/>
              <w:jc w:val="left"/>
              <w:rPr>
                <w:rFonts w:hint="eastAsia" w:ascii="宋体" w:hAnsi="宋体" w:cs="宋体"/>
                <w:kern w:val="0"/>
                <w:sz w:val="21"/>
                <w:szCs w:val="21"/>
              </w:rPr>
            </w:pPr>
          </w:p>
        </w:tc>
        <w:tc>
          <w:tcPr>
            <w:tcW w:w="545" w:type="pct"/>
            <w:vAlign w:val="center"/>
          </w:tcPr>
          <w:p w14:paraId="5406DDA9">
            <w:pPr>
              <w:spacing w:line="400" w:lineRule="exact"/>
              <w:jc w:val="left"/>
              <w:rPr>
                <w:rFonts w:hint="eastAsia" w:ascii="宋体" w:hAnsi="宋体" w:cs="宋体"/>
                <w:kern w:val="0"/>
                <w:sz w:val="21"/>
                <w:szCs w:val="21"/>
              </w:rPr>
            </w:pPr>
          </w:p>
        </w:tc>
      </w:tr>
      <w:tr w14:paraId="4A57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770FA35">
            <w:pPr>
              <w:spacing w:line="400" w:lineRule="exact"/>
              <w:jc w:val="left"/>
              <w:rPr>
                <w:rFonts w:hint="eastAsia" w:ascii="宋体" w:hAnsi="宋体" w:cs="宋体"/>
                <w:kern w:val="0"/>
                <w:sz w:val="21"/>
                <w:szCs w:val="21"/>
              </w:rPr>
            </w:pPr>
          </w:p>
        </w:tc>
        <w:tc>
          <w:tcPr>
            <w:tcW w:w="592" w:type="pct"/>
            <w:vMerge w:val="restart"/>
            <w:vAlign w:val="center"/>
          </w:tcPr>
          <w:p w14:paraId="443BC6E7">
            <w:pPr>
              <w:spacing w:line="400" w:lineRule="exact"/>
              <w:jc w:val="center"/>
              <w:rPr>
                <w:rFonts w:hint="eastAsia" w:ascii="宋体" w:hAnsi="宋体" w:cs="宋体"/>
                <w:kern w:val="0"/>
                <w:sz w:val="21"/>
                <w:szCs w:val="21"/>
              </w:rPr>
            </w:pPr>
            <w:r>
              <w:rPr>
                <w:rFonts w:hint="eastAsia" w:ascii="宋体" w:hAnsi="宋体" w:cs="宋体"/>
                <w:kern w:val="0"/>
                <w:sz w:val="21"/>
                <w:szCs w:val="21"/>
              </w:rPr>
              <w:t>评分表配置</w:t>
            </w:r>
          </w:p>
        </w:tc>
        <w:tc>
          <w:tcPr>
            <w:tcW w:w="2432" w:type="pct"/>
            <w:vAlign w:val="center"/>
          </w:tcPr>
          <w:p w14:paraId="444A6B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支持对总体病历评分表、运行病历评分表进行自定义配置，如开启/关闭、是否在提醒端展示；</w:t>
            </w:r>
          </w:p>
        </w:tc>
        <w:tc>
          <w:tcPr>
            <w:tcW w:w="711" w:type="pct"/>
            <w:vAlign w:val="center"/>
          </w:tcPr>
          <w:p w14:paraId="26918B75">
            <w:pPr>
              <w:spacing w:line="400" w:lineRule="exact"/>
              <w:jc w:val="left"/>
              <w:rPr>
                <w:rFonts w:hint="eastAsia" w:ascii="宋体" w:hAnsi="宋体" w:cs="宋体"/>
                <w:kern w:val="0"/>
                <w:sz w:val="21"/>
                <w:szCs w:val="21"/>
              </w:rPr>
            </w:pPr>
          </w:p>
        </w:tc>
        <w:tc>
          <w:tcPr>
            <w:tcW w:w="545" w:type="pct"/>
            <w:vAlign w:val="center"/>
          </w:tcPr>
          <w:p w14:paraId="2770798F">
            <w:pPr>
              <w:spacing w:line="400" w:lineRule="exact"/>
              <w:jc w:val="left"/>
              <w:rPr>
                <w:rFonts w:hint="eastAsia" w:ascii="宋体" w:hAnsi="宋体" w:cs="宋体"/>
                <w:kern w:val="0"/>
                <w:sz w:val="21"/>
                <w:szCs w:val="21"/>
              </w:rPr>
            </w:pPr>
          </w:p>
        </w:tc>
      </w:tr>
      <w:tr w14:paraId="32D6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777481A">
            <w:pPr>
              <w:spacing w:line="400" w:lineRule="exact"/>
              <w:jc w:val="left"/>
              <w:rPr>
                <w:rFonts w:hint="eastAsia" w:ascii="宋体" w:hAnsi="宋体" w:cs="宋体"/>
                <w:kern w:val="0"/>
                <w:sz w:val="21"/>
                <w:szCs w:val="21"/>
              </w:rPr>
            </w:pPr>
          </w:p>
        </w:tc>
        <w:tc>
          <w:tcPr>
            <w:tcW w:w="592" w:type="pct"/>
            <w:vMerge w:val="continue"/>
            <w:vAlign w:val="center"/>
          </w:tcPr>
          <w:p w14:paraId="3615F778">
            <w:pPr>
              <w:spacing w:line="400" w:lineRule="exact"/>
              <w:jc w:val="center"/>
              <w:rPr>
                <w:rFonts w:hint="eastAsia" w:ascii="宋体" w:hAnsi="宋体" w:cs="宋体"/>
                <w:kern w:val="0"/>
                <w:sz w:val="21"/>
                <w:szCs w:val="21"/>
              </w:rPr>
            </w:pPr>
          </w:p>
        </w:tc>
        <w:tc>
          <w:tcPr>
            <w:tcW w:w="2432" w:type="pct"/>
            <w:vAlign w:val="center"/>
          </w:tcPr>
          <w:p w14:paraId="03C391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系统需内置多版本评分表模板，方便医院在模板基础上快速自定义编辑修改。</w:t>
            </w:r>
          </w:p>
        </w:tc>
        <w:tc>
          <w:tcPr>
            <w:tcW w:w="711" w:type="pct"/>
            <w:vAlign w:val="center"/>
          </w:tcPr>
          <w:p w14:paraId="329A2A34">
            <w:pPr>
              <w:spacing w:line="400" w:lineRule="exact"/>
              <w:jc w:val="left"/>
              <w:rPr>
                <w:rFonts w:hint="eastAsia" w:ascii="宋体" w:hAnsi="宋体" w:cs="宋体"/>
                <w:kern w:val="0"/>
                <w:sz w:val="21"/>
                <w:szCs w:val="21"/>
              </w:rPr>
            </w:pPr>
          </w:p>
        </w:tc>
        <w:tc>
          <w:tcPr>
            <w:tcW w:w="545" w:type="pct"/>
            <w:vAlign w:val="center"/>
          </w:tcPr>
          <w:p w14:paraId="6347B416">
            <w:pPr>
              <w:spacing w:line="400" w:lineRule="exact"/>
              <w:jc w:val="left"/>
              <w:rPr>
                <w:rFonts w:hint="eastAsia" w:ascii="宋体" w:hAnsi="宋体" w:cs="宋体"/>
                <w:kern w:val="0"/>
                <w:sz w:val="21"/>
                <w:szCs w:val="21"/>
              </w:rPr>
            </w:pPr>
          </w:p>
        </w:tc>
      </w:tr>
      <w:tr w14:paraId="46C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4520DDB7">
            <w:pPr>
              <w:spacing w:line="400" w:lineRule="exact"/>
              <w:jc w:val="left"/>
              <w:rPr>
                <w:rFonts w:hint="eastAsia" w:ascii="宋体" w:hAnsi="宋体" w:cs="宋体"/>
                <w:kern w:val="0"/>
                <w:sz w:val="21"/>
                <w:szCs w:val="21"/>
              </w:rPr>
            </w:pPr>
          </w:p>
        </w:tc>
        <w:tc>
          <w:tcPr>
            <w:tcW w:w="592" w:type="pct"/>
            <w:vMerge w:val="continue"/>
            <w:vAlign w:val="center"/>
          </w:tcPr>
          <w:p w14:paraId="18E68835">
            <w:pPr>
              <w:spacing w:line="400" w:lineRule="exact"/>
              <w:jc w:val="center"/>
              <w:rPr>
                <w:rFonts w:hint="eastAsia" w:ascii="宋体" w:hAnsi="宋体" w:cs="宋体"/>
                <w:kern w:val="0"/>
                <w:sz w:val="21"/>
                <w:szCs w:val="21"/>
              </w:rPr>
            </w:pPr>
          </w:p>
        </w:tc>
        <w:tc>
          <w:tcPr>
            <w:tcW w:w="2432" w:type="pct"/>
            <w:vAlign w:val="center"/>
          </w:tcPr>
          <w:p w14:paraId="5F0406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新增、修改、删除具体评分项，评分项需包括：病历类型、项目分值、评分标准、评分方法、分值设置、扣分逻辑、单项缺陷设置及关联质控点等模块。支持单项否决、单项否决乙级、单项否决丙级的配置；并能满足单项扣分与累计扣分两种扣分逻辑，可编辑评分表名称与等级设置。</w:t>
            </w:r>
          </w:p>
        </w:tc>
        <w:tc>
          <w:tcPr>
            <w:tcW w:w="711" w:type="pct"/>
            <w:vAlign w:val="center"/>
          </w:tcPr>
          <w:p w14:paraId="7F0C17AD">
            <w:pPr>
              <w:spacing w:line="240" w:lineRule="auto"/>
              <w:jc w:val="left"/>
              <w:rPr>
                <w:rFonts w:hint="eastAsia" w:ascii="宋体" w:hAnsi="宋体" w:cs="宋体"/>
                <w:kern w:val="0"/>
                <w:sz w:val="21"/>
                <w:szCs w:val="21"/>
              </w:rPr>
            </w:pPr>
          </w:p>
        </w:tc>
        <w:tc>
          <w:tcPr>
            <w:tcW w:w="545" w:type="pct"/>
            <w:vAlign w:val="center"/>
          </w:tcPr>
          <w:p w14:paraId="3510A203">
            <w:pPr>
              <w:spacing w:line="240" w:lineRule="auto"/>
              <w:jc w:val="left"/>
              <w:rPr>
                <w:rFonts w:hint="eastAsia" w:ascii="宋体" w:hAnsi="宋体" w:cs="宋体"/>
                <w:kern w:val="0"/>
                <w:sz w:val="21"/>
                <w:szCs w:val="21"/>
              </w:rPr>
            </w:pPr>
          </w:p>
        </w:tc>
      </w:tr>
      <w:tr w14:paraId="1EFE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9FF9E37">
            <w:pPr>
              <w:spacing w:line="400" w:lineRule="exact"/>
              <w:jc w:val="left"/>
              <w:rPr>
                <w:rFonts w:hint="eastAsia" w:ascii="宋体" w:hAnsi="宋体" w:cs="宋体"/>
                <w:kern w:val="0"/>
                <w:sz w:val="21"/>
                <w:szCs w:val="21"/>
              </w:rPr>
            </w:pPr>
          </w:p>
        </w:tc>
        <w:tc>
          <w:tcPr>
            <w:tcW w:w="592" w:type="pct"/>
            <w:vMerge w:val="restart"/>
            <w:vAlign w:val="center"/>
          </w:tcPr>
          <w:p w14:paraId="7E65519C">
            <w:pPr>
              <w:spacing w:line="400" w:lineRule="exact"/>
              <w:jc w:val="center"/>
              <w:rPr>
                <w:rFonts w:hint="eastAsia" w:ascii="宋体" w:hAnsi="宋体" w:cs="宋体"/>
                <w:kern w:val="0"/>
                <w:sz w:val="21"/>
                <w:szCs w:val="21"/>
              </w:rPr>
            </w:pPr>
            <w:r>
              <w:rPr>
                <w:rFonts w:hint="eastAsia" w:ascii="宋体" w:hAnsi="宋体" w:cs="宋体"/>
                <w:kern w:val="0"/>
                <w:sz w:val="21"/>
                <w:szCs w:val="21"/>
              </w:rPr>
              <w:t>配置引擎</w:t>
            </w:r>
          </w:p>
        </w:tc>
        <w:tc>
          <w:tcPr>
            <w:tcW w:w="2432" w:type="pct"/>
            <w:vAlign w:val="center"/>
          </w:tcPr>
          <w:p w14:paraId="0FF8BF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用户管理：系统应支持管理员设置不同角色权限，不同权限的角色在使用时功能模块和数据不一致。</w:t>
            </w:r>
          </w:p>
        </w:tc>
        <w:tc>
          <w:tcPr>
            <w:tcW w:w="711" w:type="pct"/>
            <w:vAlign w:val="center"/>
          </w:tcPr>
          <w:p w14:paraId="517145EE">
            <w:pPr>
              <w:spacing w:line="400" w:lineRule="exact"/>
              <w:jc w:val="left"/>
              <w:rPr>
                <w:rFonts w:hint="eastAsia" w:ascii="宋体" w:hAnsi="宋体" w:cs="宋体"/>
                <w:kern w:val="0"/>
                <w:sz w:val="21"/>
                <w:szCs w:val="21"/>
              </w:rPr>
            </w:pPr>
          </w:p>
        </w:tc>
        <w:tc>
          <w:tcPr>
            <w:tcW w:w="545" w:type="pct"/>
            <w:vAlign w:val="center"/>
          </w:tcPr>
          <w:p w14:paraId="4C504716">
            <w:pPr>
              <w:spacing w:line="400" w:lineRule="exact"/>
              <w:jc w:val="left"/>
              <w:rPr>
                <w:rFonts w:hint="eastAsia" w:ascii="宋体" w:hAnsi="宋体" w:cs="宋体"/>
                <w:kern w:val="0"/>
                <w:sz w:val="21"/>
                <w:szCs w:val="21"/>
              </w:rPr>
            </w:pPr>
          </w:p>
        </w:tc>
      </w:tr>
      <w:tr w14:paraId="314A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0AA9E913">
            <w:pPr>
              <w:spacing w:line="400" w:lineRule="exact"/>
              <w:jc w:val="left"/>
              <w:rPr>
                <w:rFonts w:hint="eastAsia" w:ascii="宋体" w:hAnsi="宋体" w:cs="宋体"/>
                <w:kern w:val="0"/>
                <w:sz w:val="21"/>
                <w:szCs w:val="21"/>
              </w:rPr>
            </w:pPr>
          </w:p>
        </w:tc>
        <w:tc>
          <w:tcPr>
            <w:tcW w:w="592" w:type="pct"/>
            <w:vMerge w:val="continue"/>
            <w:vAlign w:val="center"/>
          </w:tcPr>
          <w:p w14:paraId="335F2970">
            <w:pPr>
              <w:spacing w:line="400" w:lineRule="exact"/>
              <w:jc w:val="left"/>
              <w:rPr>
                <w:rFonts w:hint="eastAsia" w:ascii="宋体" w:hAnsi="宋体" w:cs="宋体"/>
                <w:kern w:val="0"/>
                <w:sz w:val="21"/>
                <w:szCs w:val="21"/>
              </w:rPr>
            </w:pPr>
          </w:p>
        </w:tc>
        <w:tc>
          <w:tcPr>
            <w:tcW w:w="2432" w:type="pct"/>
            <w:vAlign w:val="center"/>
          </w:tcPr>
          <w:p w14:paraId="64C575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功能权限：系统应支持管理员对角色的功能模块权限进行自定义配置管理。</w:t>
            </w:r>
          </w:p>
        </w:tc>
        <w:tc>
          <w:tcPr>
            <w:tcW w:w="711" w:type="pct"/>
            <w:vAlign w:val="center"/>
          </w:tcPr>
          <w:p w14:paraId="408601CE">
            <w:pPr>
              <w:spacing w:line="400" w:lineRule="exact"/>
              <w:jc w:val="left"/>
              <w:rPr>
                <w:rFonts w:hint="eastAsia" w:ascii="宋体" w:hAnsi="宋体" w:cs="宋体"/>
                <w:kern w:val="0"/>
                <w:sz w:val="21"/>
                <w:szCs w:val="21"/>
              </w:rPr>
            </w:pPr>
          </w:p>
        </w:tc>
        <w:tc>
          <w:tcPr>
            <w:tcW w:w="545" w:type="pct"/>
            <w:vAlign w:val="center"/>
          </w:tcPr>
          <w:p w14:paraId="0D95186C">
            <w:pPr>
              <w:spacing w:line="400" w:lineRule="exact"/>
              <w:jc w:val="left"/>
              <w:rPr>
                <w:rFonts w:hint="eastAsia" w:ascii="宋体" w:hAnsi="宋体" w:cs="宋体"/>
                <w:kern w:val="0"/>
                <w:sz w:val="21"/>
                <w:szCs w:val="21"/>
              </w:rPr>
            </w:pPr>
          </w:p>
        </w:tc>
      </w:tr>
      <w:tr w14:paraId="5DF0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6F6C501">
            <w:pPr>
              <w:spacing w:line="400" w:lineRule="exact"/>
              <w:jc w:val="left"/>
              <w:rPr>
                <w:rFonts w:hint="eastAsia" w:ascii="宋体" w:hAnsi="宋体" w:cs="宋体"/>
                <w:kern w:val="0"/>
                <w:sz w:val="21"/>
                <w:szCs w:val="21"/>
              </w:rPr>
            </w:pPr>
          </w:p>
        </w:tc>
        <w:tc>
          <w:tcPr>
            <w:tcW w:w="592" w:type="pct"/>
            <w:vMerge w:val="restart"/>
            <w:vAlign w:val="center"/>
          </w:tcPr>
          <w:p w14:paraId="13F078C7">
            <w:pPr>
              <w:spacing w:line="400" w:lineRule="exact"/>
              <w:jc w:val="center"/>
              <w:rPr>
                <w:rFonts w:hint="eastAsia" w:ascii="宋体" w:hAnsi="宋体" w:cs="宋体"/>
                <w:kern w:val="0"/>
                <w:sz w:val="21"/>
                <w:szCs w:val="21"/>
              </w:rPr>
            </w:pPr>
            <w:r>
              <w:rPr>
                <w:rFonts w:hint="eastAsia" w:ascii="宋体" w:hAnsi="宋体" w:cs="宋体"/>
                <w:kern w:val="0"/>
                <w:sz w:val="21"/>
                <w:szCs w:val="21"/>
              </w:rPr>
              <w:t>系统设置</w:t>
            </w:r>
          </w:p>
        </w:tc>
        <w:tc>
          <w:tcPr>
            <w:tcW w:w="2432" w:type="pct"/>
            <w:vAlign w:val="center"/>
          </w:tcPr>
          <w:p w14:paraId="0B5633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数据权限：系统应支持管理员对角色数据查看权限的范围进行自定义配置管理。</w:t>
            </w:r>
          </w:p>
        </w:tc>
        <w:tc>
          <w:tcPr>
            <w:tcW w:w="711" w:type="pct"/>
            <w:vAlign w:val="center"/>
          </w:tcPr>
          <w:p w14:paraId="3A5C8685">
            <w:pPr>
              <w:spacing w:line="400" w:lineRule="exact"/>
              <w:jc w:val="left"/>
              <w:rPr>
                <w:rFonts w:hint="eastAsia" w:ascii="宋体" w:hAnsi="宋体" w:cs="宋体"/>
                <w:kern w:val="0"/>
                <w:sz w:val="21"/>
                <w:szCs w:val="21"/>
              </w:rPr>
            </w:pPr>
          </w:p>
        </w:tc>
        <w:tc>
          <w:tcPr>
            <w:tcW w:w="545" w:type="pct"/>
            <w:vAlign w:val="center"/>
          </w:tcPr>
          <w:p w14:paraId="42C64A4D">
            <w:pPr>
              <w:spacing w:line="400" w:lineRule="exact"/>
              <w:jc w:val="left"/>
              <w:rPr>
                <w:rFonts w:hint="eastAsia" w:ascii="宋体" w:hAnsi="宋体" w:cs="宋体"/>
                <w:kern w:val="0"/>
                <w:sz w:val="21"/>
                <w:szCs w:val="21"/>
              </w:rPr>
            </w:pPr>
          </w:p>
        </w:tc>
      </w:tr>
      <w:tr w14:paraId="5ACE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5FE8F84">
            <w:pPr>
              <w:spacing w:line="400" w:lineRule="exact"/>
              <w:jc w:val="left"/>
              <w:rPr>
                <w:rFonts w:hint="eastAsia" w:ascii="宋体" w:hAnsi="宋体" w:cs="宋体"/>
                <w:kern w:val="0"/>
                <w:sz w:val="21"/>
                <w:szCs w:val="21"/>
              </w:rPr>
            </w:pPr>
          </w:p>
        </w:tc>
        <w:tc>
          <w:tcPr>
            <w:tcW w:w="592" w:type="pct"/>
            <w:vMerge w:val="continue"/>
            <w:vAlign w:val="center"/>
          </w:tcPr>
          <w:p w14:paraId="61D483DB">
            <w:pPr>
              <w:spacing w:line="400" w:lineRule="exact"/>
              <w:jc w:val="left"/>
              <w:rPr>
                <w:rFonts w:hint="eastAsia" w:ascii="宋体" w:hAnsi="宋体" w:cs="宋体"/>
                <w:kern w:val="0"/>
                <w:sz w:val="21"/>
                <w:szCs w:val="21"/>
              </w:rPr>
            </w:pPr>
          </w:p>
        </w:tc>
        <w:tc>
          <w:tcPr>
            <w:tcW w:w="2432" w:type="pct"/>
            <w:vAlign w:val="center"/>
          </w:tcPr>
          <w:p w14:paraId="30D35E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控级别：可根据每家医院情况设置多个质控级别，可自定义每个级别的级别名称、简称、级别等级，病历进行人工质控时自动按照级别从低到高进行流转。高级别可以修改低级别的质控结果；同级别只能查看其他同级别质控结果；低级别无法查看高级别质控结果。</w:t>
            </w:r>
          </w:p>
        </w:tc>
        <w:tc>
          <w:tcPr>
            <w:tcW w:w="711" w:type="pct"/>
            <w:vAlign w:val="center"/>
          </w:tcPr>
          <w:p w14:paraId="07E23F83">
            <w:pPr>
              <w:spacing w:line="400" w:lineRule="exact"/>
              <w:jc w:val="left"/>
              <w:rPr>
                <w:rFonts w:hint="eastAsia" w:ascii="宋体" w:hAnsi="宋体" w:cs="宋体"/>
                <w:kern w:val="0"/>
                <w:sz w:val="21"/>
                <w:szCs w:val="21"/>
              </w:rPr>
            </w:pPr>
          </w:p>
        </w:tc>
        <w:tc>
          <w:tcPr>
            <w:tcW w:w="545" w:type="pct"/>
            <w:vAlign w:val="center"/>
          </w:tcPr>
          <w:p w14:paraId="71511917">
            <w:pPr>
              <w:spacing w:line="400" w:lineRule="exact"/>
              <w:jc w:val="left"/>
              <w:rPr>
                <w:rFonts w:hint="eastAsia" w:ascii="宋体" w:hAnsi="宋体" w:cs="宋体"/>
                <w:kern w:val="0"/>
                <w:sz w:val="21"/>
                <w:szCs w:val="21"/>
              </w:rPr>
            </w:pPr>
          </w:p>
        </w:tc>
      </w:tr>
      <w:tr w14:paraId="299E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184EDBE">
            <w:pPr>
              <w:spacing w:line="400" w:lineRule="exact"/>
              <w:jc w:val="left"/>
              <w:rPr>
                <w:rFonts w:hint="eastAsia" w:ascii="宋体" w:hAnsi="宋体" w:cs="宋体"/>
                <w:kern w:val="0"/>
                <w:sz w:val="21"/>
                <w:szCs w:val="21"/>
              </w:rPr>
            </w:pPr>
          </w:p>
        </w:tc>
        <w:tc>
          <w:tcPr>
            <w:tcW w:w="592" w:type="pct"/>
            <w:vMerge w:val="continue"/>
            <w:vAlign w:val="center"/>
          </w:tcPr>
          <w:p w14:paraId="33A15409">
            <w:pPr>
              <w:spacing w:line="400" w:lineRule="exact"/>
              <w:jc w:val="left"/>
              <w:rPr>
                <w:rFonts w:hint="eastAsia" w:ascii="宋体" w:hAnsi="宋体" w:cs="宋体"/>
                <w:kern w:val="0"/>
                <w:sz w:val="21"/>
                <w:szCs w:val="21"/>
              </w:rPr>
            </w:pPr>
          </w:p>
        </w:tc>
        <w:tc>
          <w:tcPr>
            <w:tcW w:w="2432" w:type="pct"/>
            <w:vAlign w:val="center"/>
          </w:tcPr>
          <w:p w14:paraId="4F21B8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质控组维护：系统应支持对质控组的质控级别、成员、科室进行自定义配置管理。</w:t>
            </w:r>
          </w:p>
        </w:tc>
        <w:tc>
          <w:tcPr>
            <w:tcW w:w="711" w:type="pct"/>
            <w:vAlign w:val="center"/>
          </w:tcPr>
          <w:p w14:paraId="7CF8F41D">
            <w:pPr>
              <w:spacing w:line="400" w:lineRule="exact"/>
              <w:jc w:val="left"/>
              <w:rPr>
                <w:rFonts w:hint="eastAsia" w:ascii="宋体" w:hAnsi="宋体" w:cs="宋体"/>
                <w:kern w:val="0"/>
                <w:sz w:val="21"/>
                <w:szCs w:val="21"/>
              </w:rPr>
            </w:pPr>
          </w:p>
        </w:tc>
        <w:tc>
          <w:tcPr>
            <w:tcW w:w="545" w:type="pct"/>
            <w:vAlign w:val="center"/>
          </w:tcPr>
          <w:p w14:paraId="2BF66FC5">
            <w:pPr>
              <w:spacing w:line="400" w:lineRule="exact"/>
              <w:jc w:val="left"/>
              <w:rPr>
                <w:rFonts w:hint="eastAsia" w:ascii="宋体" w:hAnsi="宋体" w:cs="宋体"/>
                <w:kern w:val="0"/>
                <w:sz w:val="21"/>
                <w:szCs w:val="21"/>
              </w:rPr>
            </w:pPr>
          </w:p>
        </w:tc>
      </w:tr>
      <w:tr w14:paraId="34A6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1EF45E70">
            <w:pPr>
              <w:pStyle w:val="30"/>
              <w:numPr>
                <w:ilvl w:val="0"/>
                <w:numId w:val="0"/>
              </w:numPr>
              <w:spacing w:line="400" w:lineRule="exact"/>
              <w:ind w:left="0" w:leftChars="0" w:firstLine="0" w:firstLineChars="0"/>
              <w:rPr>
                <w:rFonts w:hint="eastAsia" w:ascii="宋体" w:hAnsi="宋体" w:eastAsia="宋体" w:cs="宋体"/>
                <w:kern w:val="0"/>
                <w:sz w:val="21"/>
                <w:szCs w:val="21"/>
              </w:rPr>
            </w:pPr>
            <w:r>
              <w:rPr>
                <w:rFonts w:hint="default" w:ascii="宋体" w:hAnsi="宋体" w:eastAsia="宋体" w:cs="宋体"/>
                <w:b/>
                <w:bCs/>
                <w:kern w:val="0"/>
                <w:sz w:val="21"/>
                <w:szCs w:val="21"/>
                <w:lang w:val="en-US" w:eastAsia="zh-CN" w:bidi="ar-SA"/>
              </w:rPr>
              <w:t>11.</w:t>
            </w:r>
            <w:r>
              <w:rPr>
                <w:rFonts w:hint="eastAsia" w:cs="宋体" w:asciiTheme="minorEastAsia" w:hAnsiTheme="minorEastAsia"/>
                <w:b/>
                <w:bCs/>
                <w:kern w:val="0"/>
                <w:sz w:val="21"/>
                <w:szCs w:val="21"/>
              </w:rPr>
              <w:t>住院病历形式质控规则库</w:t>
            </w:r>
          </w:p>
        </w:tc>
        <w:tc>
          <w:tcPr>
            <w:tcW w:w="592" w:type="pct"/>
            <w:vAlign w:val="center"/>
          </w:tcPr>
          <w:p w14:paraId="1FD7C1C9">
            <w:pPr>
              <w:spacing w:line="400" w:lineRule="exact"/>
              <w:jc w:val="center"/>
              <w:rPr>
                <w:rFonts w:hint="eastAsia" w:ascii="宋体" w:hAnsi="宋体" w:cs="宋体"/>
                <w:kern w:val="0"/>
                <w:sz w:val="21"/>
                <w:szCs w:val="21"/>
              </w:rPr>
            </w:pPr>
            <w:r>
              <w:rPr>
                <w:rFonts w:hint="eastAsia" w:ascii="宋体" w:hAnsi="宋体" w:cs="宋体"/>
                <w:kern w:val="0"/>
                <w:sz w:val="21"/>
                <w:szCs w:val="21"/>
              </w:rPr>
              <w:t>质控点覆盖</w:t>
            </w:r>
          </w:p>
        </w:tc>
        <w:tc>
          <w:tcPr>
            <w:tcW w:w="2432" w:type="pct"/>
            <w:vAlign w:val="center"/>
          </w:tcPr>
          <w:p w14:paraId="333200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形式质控内容包括病历文书记录的完整性、合理性、一致性、时效性。</w:t>
            </w:r>
          </w:p>
          <w:p w14:paraId="20446F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（所有质控点具体实现效果与国家政策变动、医院数据质量、临床工作需要相关，实现情况有所差异）</w:t>
            </w:r>
          </w:p>
        </w:tc>
        <w:tc>
          <w:tcPr>
            <w:tcW w:w="711" w:type="pct"/>
            <w:vAlign w:val="center"/>
          </w:tcPr>
          <w:p w14:paraId="1EE9B4EA">
            <w:pPr>
              <w:spacing w:line="400" w:lineRule="exact"/>
              <w:jc w:val="left"/>
              <w:rPr>
                <w:rFonts w:hint="eastAsia" w:ascii="宋体" w:hAnsi="宋体" w:cs="宋体"/>
                <w:kern w:val="0"/>
                <w:sz w:val="21"/>
                <w:szCs w:val="21"/>
              </w:rPr>
            </w:pPr>
          </w:p>
        </w:tc>
        <w:tc>
          <w:tcPr>
            <w:tcW w:w="545" w:type="pct"/>
            <w:vAlign w:val="center"/>
          </w:tcPr>
          <w:p w14:paraId="16970B15">
            <w:pPr>
              <w:spacing w:line="400" w:lineRule="exact"/>
              <w:jc w:val="left"/>
              <w:rPr>
                <w:rFonts w:hint="eastAsia" w:ascii="宋体" w:hAnsi="宋体" w:cs="宋体"/>
                <w:kern w:val="0"/>
                <w:sz w:val="21"/>
                <w:szCs w:val="21"/>
              </w:rPr>
            </w:pPr>
          </w:p>
        </w:tc>
      </w:tr>
      <w:tr w14:paraId="3BAE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9019EB5">
            <w:pPr>
              <w:spacing w:line="400" w:lineRule="exact"/>
              <w:jc w:val="left"/>
              <w:rPr>
                <w:rFonts w:hint="eastAsia" w:ascii="宋体" w:hAnsi="宋体" w:cs="宋体"/>
                <w:kern w:val="0"/>
                <w:sz w:val="21"/>
                <w:szCs w:val="21"/>
              </w:rPr>
            </w:pPr>
          </w:p>
        </w:tc>
        <w:tc>
          <w:tcPr>
            <w:tcW w:w="592" w:type="pct"/>
            <w:vAlign w:val="center"/>
          </w:tcPr>
          <w:p w14:paraId="6E32387A">
            <w:pPr>
              <w:spacing w:line="400" w:lineRule="exact"/>
              <w:jc w:val="center"/>
              <w:rPr>
                <w:rFonts w:hint="eastAsia" w:ascii="宋体" w:hAnsi="宋体" w:cs="宋体"/>
                <w:kern w:val="0"/>
                <w:sz w:val="21"/>
                <w:szCs w:val="21"/>
              </w:rPr>
            </w:pPr>
            <w:r>
              <w:rPr>
                <w:rFonts w:hint="eastAsia" w:ascii="宋体" w:hAnsi="宋体" w:cs="宋体"/>
                <w:kern w:val="0"/>
                <w:sz w:val="21"/>
                <w:szCs w:val="21"/>
              </w:rPr>
              <w:t>完整性质控点</w:t>
            </w:r>
          </w:p>
        </w:tc>
        <w:tc>
          <w:tcPr>
            <w:tcW w:w="2432" w:type="pct"/>
            <w:vAlign w:val="center"/>
          </w:tcPr>
          <w:p w14:paraId="17AD9F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入院记录完整性质控应覆盖：入院记录、专科检查、初步诊断、婚育年龄、子女数量、父母情况、家族史兄弟姐妹情况、辅助检查记录、体格检查。</w:t>
            </w:r>
          </w:p>
          <w:p w14:paraId="7AC8E8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首次病程记录完整性质控应覆盖：病例特点、诊断依据、鉴别诊断、诊疗计划。</w:t>
            </w:r>
          </w:p>
          <w:p w14:paraId="08844F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手术相关完整性质控应覆盖：手术记录、麻醉方式、手术经过、手术前主刀医生查房记录、手术知情同意书、术前讨论记录完整性（术前讨论记录、手术指征、术前诊断）。</w:t>
            </w:r>
          </w:p>
          <w:p w14:paraId="56F35B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术后首次病程记录完整性质控应覆盖：术后首次病程记录、麻醉方式、手术方式、手术经过、术后处理措施、术后诊断。</w:t>
            </w:r>
          </w:p>
          <w:p w14:paraId="510367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死亡病例讨论记录完整性质控应覆盖：死亡记录、病历摘要、死亡时间、死亡原因、死亡诊断、讨论结果、治疗及抢救经过。</w:t>
            </w:r>
          </w:p>
          <w:p w14:paraId="0A9EE1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疑难病例讨论记录完整性质控应覆盖：病历摘要、讨论记录。</w:t>
            </w:r>
          </w:p>
          <w:p w14:paraId="0C33F3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出院记录完整性质控应覆盖：出院记录、出院医嘱、诊疗经过。</w:t>
            </w:r>
          </w:p>
          <w:p w14:paraId="400E3F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其他文书完整性：输血治疗同意书完整性、输血记录输血反应完整性、会诊记录完整性、麻醉记录完整性、麻醉记录完整性、抢救记录完整性、死亡病例的抢救记录完整性、死亡病例讨论记录完整性、日常病程记录完整性、主任医师/副主任医师查房记录完整性</w:t>
            </w:r>
            <w:r>
              <w:rPr>
                <w:rFonts w:hint="eastAsia" w:asciiTheme="minorEastAsia" w:hAnsiTheme="minorEastAsia" w:eastAsiaTheme="minorEastAsia" w:cstheme="minorEastAsia"/>
                <w:sz w:val="21"/>
                <w:szCs w:val="21"/>
                <w:lang w:eastAsia="zh-CN"/>
              </w:rPr>
              <w:t>。</w:t>
            </w:r>
          </w:p>
        </w:tc>
        <w:tc>
          <w:tcPr>
            <w:tcW w:w="711" w:type="pct"/>
            <w:vAlign w:val="center"/>
          </w:tcPr>
          <w:p w14:paraId="36810DBE">
            <w:pPr>
              <w:pStyle w:val="30"/>
              <w:numPr>
                <w:ilvl w:val="0"/>
                <w:numId w:val="0"/>
              </w:numPr>
              <w:spacing w:line="400" w:lineRule="exact"/>
              <w:ind w:left="440" w:leftChars="0" w:hanging="440" w:firstLineChars="0"/>
              <w:rPr>
                <w:rFonts w:hint="eastAsia" w:ascii="宋体" w:hAnsi="宋体" w:eastAsia="宋体" w:cs="宋体"/>
                <w:color w:val="000000"/>
                <w:kern w:val="0"/>
                <w:sz w:val="21"/>
                <w:szCs w:val="21"/>
              </w:rPr>
            </w:pPr>
          </w:p>
        </w:tc>
        <w:tc>
          <w:tcPr>
            <w:tcW w:w="545" w:type="pct"/>
            <w:vAlign w:val="center"/>
          </w:tcPr>
          <w:p w14:paraId="71AE88A2">
            <w:pPr>
              <w:pStyle w:val="30"/>
              <w:numPr>
                <w:ilvl w:val="0"/>
                <w:numId w:val="0"/>
              </w:numPr>
              <w:spacing w:line="400" w:lineRule="exact"/>
              <w:ind w:leftChars="0"/>
              <w:rPr>
                <w:rFonts w:hint="eastAsia" w:ascii="宋体" w:hAnsi="宋体" w:eastAsia="宋体" w:cs="宋体"/>
                <w:color w:val="000000"/>
                <w:kern w:val="0"/>
                <w:sz w:val="21"/>
                <w:szCs w:val="21"/>
              </w:rPr>
            </w:pPr>
          </w:p>
        </w:tc>
      </w:tr>
      <w:tr w14:paraId="58A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51BFCB48">
            <w:pPr>
              <w:spacing w:line="400" w:lineRule="exact"/>
              <w:jc w:val="left"/>
              <w:rPr>
                <w:rFonts w:hint="eastAsia" w:ascii="宋体" w:hAnsi="宋体" w:cs="宋体"/>
                <w:kern w:val="0"/>
                <w:sz w:val="21"/>
                <w:szCs w:val="21"/>
              </w:rPr>
            </w:pPr>
          </w:p>
        </w:tc>
        <w:tc>
          <w:tcPr>
            <w:tcW w:w="592" w:type="pct"/>
            <w:vAlign w:val="center"/>
          </w:tcPr>
          <w:p w14:paraId="45E676A0">
            <w:pPr>
              <w:spacing w:line="400" w:lineRule="exact"/>
              <w:jc w:val="center"/>
              <w:rPr>
                <w:rFonts w:hint="eastAsia" w:ascii="宋体" w:hAnsi="宋体" w:cs="宋体"/>
                <w:kern w:val="0"/>
                <w:sz w:val="21"/>
                <w:szCs w:val="21"/>
              </w:rPr>
            </w:pPr>
            <w:r>
              <w:rPr>
                <w:rFonts w:hint="eastAsia" w:ascii="宋体" w:hAnsi="宋体" w:cs="宋体"/>
                <w:kern w:val="0"/>
                <w:sz w:val="21"/>
                <w:szCs w:val="21"/>
              </w:rPr>
              <w:t>时效性质控点</w:t>
            </w:r>
          </w:p>
        </w:tc>
        <w:tc>
          <w:tcPr>
            <w:tcW w:w="2432" w:type="pct"/>
            <w:vAlign w:val="center"/>
          </w:tcPr>
          <w:p w14:paraId="3561C0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效性质控点应覆盖：入院记录、首次病程记录、日常病程记录、首次上级医师查房记录、首次主治医师查房、入院三天内的病程记录、阶段小结、术前小结、手术记录、术后首次病程记录、术后主刀医生病程记录、术后三天内上级医师或术者查房记录、手术后日常病程记录、病危病人日常病程、病重病人日常病程记录、主任医师或副主任医师日常查房记录、抢救记录、转科后日常病程记录、死亡病例讨论记录、转入记录、出院记录、死亡记录。</w:t>
            </w:r>
          </w:p>
        </w:tc>
        <w:tc>
          <w:tcPr>
            <w:tcW w:w="711" w:type="pct"/>
            <w:vAlign w:val="center"/>
          </w:tcPr>
          <w:p w14:paraId="514F55C0">
            <w:pPr>
              <w:spacing w:line="400" w:lineRule="exact"/>
              <w:rPr>
                <w:rFonts w:hint="eastAsia" w:ascii="宋体" w:hAnsi="宋体" w:cs="宋体"/>
                <w:kern w:val="0"/>
                <w:sz w:val="21"/>
                <w:szCs w:val="21"/>
              </w:rPr>
            </w:pPr>
          </w:p>
        </w:tc>
        <w:tc>
          <w:tcPr>
            <w:tcW w:w="545" w:type="pct"/>
            <w:vAlign w:val="center"/>
          </w:tcPr>
          <w:p w14:paraId="3E0D7599">
            <w:pPr>
              <w:spacing w:line="400" w:lineRule="exact"/>
              <w:rPr>
                <w:rFonts w:hint="eastAsia" w:ascii="宋体" w:hAnsi="宋体" w:cs="宋体"/>
                <w:kern w:val="0"/>
                <w:sz w:val="21"/>
                <w:szCs w:val="21"/>
              </w:rPr>
            </w:pPr>
          </w:p>
        </w:tc>
      </w:tr>
      <w:tr w14:paraId="204F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restart"/>
            <w:vAlign w:val="center"/>
          </w:tcPr>
          <w:p w14:paraId="1D4B77B5">
            <w:pPr>
              <w:pStyle w:val="30"/>
              <w:numPr>
                <w:ilvl w:val="0"/>
                <w:numId w:val="0"/>
              </w:numPr>
              <w:spacing w:line="400" w:lineRule="exact"/>
              <w:ind w:left="0" w:leftChars="0" w:firstLine="0" w:firstLineChars="0"/>
              <w:rPr>
                <w:rFonts w:hint="eastAsia" w:ascii="宋体" w:hAnsi="宋体" w:eastAsia="宋体" w:cs="宋体"/>
                <w:kern w:val="0"/>
                <w:sz w:val="21"/>
                <w:szCs w:val="21"/>
              </w:rPr>
            </w:pPr>
            <w:r>
              <w:rPr>
                <w:rFonts w:hint="default" w:ascii="宋体" w:hAnsi="宋体" w:eastAsia="宋体" w:cs="宋体"/>
                <w:b/>
                <w:bCs/>
                <w:kern w:val="0"/>
                <w:sz w:val="21"/>
                <w:szCs w:val="21"/>
                <w:lang w:val="en-US" w:eastAsia="zh-CN" w:bidi="ar-SA"/>
              </w:rPr>
              <w:t>12.</w:t>
            </w:r>
            <w:r>
              <w:rPr>
                <w:rFonts w:hint="eastAsia" w:cs="宋体" w:asciiTheme="minorEastAsia" w:hAnsiTheme="minorEastAsia"/>
                <w:b/>
                <w:bCs/>
                <w:kern w:val="0"/>
                <w:sz w:val="21"/>
                <w:szCs w:val="21"/>
              </w:rPr>
              <w:t>住院病历内涵质控规则库</w:t>
            </w:r>
          </w:p>
        </w:tc>
        <w:tc>
          <w:tcPr>
            <w:tcW w:w="592" w:type="pct"/>
            <w:vAlign w:val="center"/>
          </w:tcPr>
          <w:p w14:paraId="733C248F">
            <w:pPr>
              <w:spacing w:line="400" w:lineRule="exact"/>
              <w:jc w:val="center"/>
              <w:rPr>
                <w:rFonts w:hint="eastAsia" w:ascii="宋体" w:hAnsi="宋体" w:cs="宋体"/>
                <w:kern w:val="0"/>
                <w:sz w:val="21"/>
                <w:szCs w:val="21"/>
              </w:rPr>
            </w:pPr>
            <w:r>
              <w:rPr>
                <w:rFonts w:hint="eastAsia" w:ascii="宋体" w:hAnsi="宋体" w:cs="宋体"/>
                <w:kern w:val="0"/>
                <w:sz w:val="21"/>
                <w:szCs w:val="21"/>
              </w:rPr>
              <w:t>质控点覆盖</w:t>
            </w:r>
          </w:p>
        </w:tc>
        <w:tc>
          <w:tcPr>
            <w:tcW w:w="2432" w:type="pct"/>
            <w:vAlign w:val="center"/>
          </w:tcPr>
          <w:p w14:paraId="65536F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内涵质控点包括病历的完整性质控点、合理性质控点、一致性质控点、雷同性质控点及专科质控点。</w:t>
            </w:r>
          </w:p>
        </w:tc>
        <w:tc>
          <w:tcPr>
            <w:tcW w:w="711" w:type="pct"/>
            <w:vAlign w:val="center"/>
          </w:tcPr>
          <w:p w14:paraId="42B04A30">
            <w:pPr>
              <w:spacing w:line="400" w:lineRule="exact"/>
              <w:rPr>
                <w:rFonts w:hint="eastAsia" w:ascii="宋体" w:hAnsi="宋体" w:cs="宋体"/>
                <w:kern w:val="0"/>
                <w:sz w:val="21"/>
                <w:szCs w:val="21"/>
              </w:rPr>
            </w:pPr>
          </w:p>
        </w:tc>
        <w:tc>
          <w:tcPr>
            <w:tcW w:w="545" w:type="pct"/>
            <w:vAlign w:val="center"/>
          </w:tcPr>
          <w:p w14:paraId="691B2AD2">
            <w:pPr>
              <w:spacing w:line="400" w:lineRule="exact"/>
              <w:rPr>
                <w:rFonts w:hint="eastAsia" w:ascii="宋体" w:hAnsi="宋体" w:cs="宋体"/>
                <w:kern w:val="0"/>
                <w:sz w:val="21"/>
                <w:szCs w:val="21"/>
              </w:rPr>
            </w:pPr>
          </w:p>
        </w:tc>
      </w:tr>
      <w:tr w14:paraId="1E97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561D37C">
            <w:pPr>
              <w:spacing w:line="400" w:lineRule="exact"/>
              <w:jc w:val="left"/>
              <w:rPr>
                <w:rFonts w:hint="eastAsia" w:ascii="宋体" w:hAnsi="宋体" w:cs="宋体"/>
                <w:kern w:val="0"/>
                <w:sz w:val="21"/>
                <w:szCs w:val="21"/>
              </w:rPr>
            </w:pPr>
          </w:p>
        </w:tc>
        <w:tc>
          <w:tcPr>
            <w:tcW w:w="592" w:type="pct"/>
            <w:vAlign w:val="center"/>
          </w:tcPr>
          <w:p w14:paraId="64FAF5F7">
            <w:pPr>
              <w:spacing w:line="400" w:lineRule="exact"/>
              <w:jc w:val="center"/>
              <w:rPr>
                <w:rFonts w:hint="eastAsia" w:ascii="宋体" w:hAnsi="宋体" w:cs="宋体"/>
                <w:kern w:val="0"/>
                <w:sz w:val="21"/>
                <w:szCs w:val="21"/>
              </w:rPr>
            </w:pPr>
            <w:r>
              <w:rPr>
                <w:rFonts w:hint="eastAsia" w:ascii="宋体" w:hAnsi="宋体" w:cs="宋体"/>
                <w:color w:val="000000"/>
                <w:kern w:val="0"/>
                <w:sz w:val="21"/>
                <w:szCs w:val="21"/>
              </w:rPr>
              <w:t>内涵完整性</w:t>
            </w:r>
            <w:r>
              <w:rPr>
                <w:rFonts w:hint="eastAsia" w:ascii="宋体" w:hAnsi="宋体" w:cs="宋体"/>
                <w:kern w:val="0"/>
                <w:sz w:val="21"/>
                <w:szCs w:val="21"/>
              </w:rPr>
              <w:t>质控点</w:t>
            </w:r>
          </w:p>
        </w:tc>
        <w:tc>
          <w:tcPr>
            <w:tcW w:w="2432" w:type="pct"/>
            <w:vAlign w:val="center"/>
          </w:tcPr>
          <w:p w14:paraId="0ABAEE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[入院记录]主诉时间未记录</w:t>
            </w:r>
          </w:p>
          <w:p w14:paraId="40521D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[出院记录]出院带药未书写用法用量</w:t>
            </w:r>
          </w:p>
          <w:p w14:paraId="29498A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[入院记录]体格检查缺少固定查体</w:t>
            </w:r>
          </w:p>
          <w:p w14:paraId="05591E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[抢救记录]缺少抢救中病情变化描述</w:t>
            </w:r>
          </w:p>
          <w:p w14:paraId="470096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[入院记录]过敏史未记录</w:t>
            </w:r>
          </w:p>
          <w:p w14:paraId="7C87D9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[入院记录]传染病史未记录</w:t>
            </w:r>
          </w:p>
          <w:p w14:paraId="02B444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[入院记录]现病史缺少一般情况描述</w:t>
            </w:r>
          </w:p>
          <w:p w14:paraId="58BFAA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[入院记录]手术史未记录</w:t>
            </w:r>
          </w:p>
          <w:p w14:paraId="4BFB49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[入院记录]个人史缺少必要描述</w:t>
            </w:r>
          </w:p>
          <w:p w14:paraId="02488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[入院记录]既往史缺少输血史描述</w:t>
            </w:r>
          </w:p>
          <w:p w14:paraId="3433ED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11、</w:t>
            </w:r>
            <w:r>
              <w:rPr>
                <w:rFonts w:hint="eastAsia" w:asciiTheme="minorEastAsia" w:hAnsiTheme="minorEastAsia" w:eastAsiaTheme="minorEastAsia" w:cstheme="minorEastAsia"/>
                <w:sz w:val="21"/>
                <w:szCs w:val="21"/>
              </w:rPr>
              <w:t>[入院记录]手术外伤史记录不具体</w:t>
            </w:r>
          </w:p>
          <w:p w14:paraId="473302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[入院记录]体格检查缺少数值</w:t>
            </w:r>
          </w:p>
          <w:p w14:paraId="0B0474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w:t>
            </w:r>
            <w:r>
              <w:rPr>
                <w:rFonts w:hint="eastAsia" w:asciiTheme="minorEastAsia" w:hAnsiTheme="minorEastAsia" w:eastAsiaTheme="minorEastAsia" w:cstheme="minorEastAsia"/>
                <w:sz w:val="21"/>
                <w:szCs w:val="21"/>
              </w:rPr>
              <w:t>[首程]诊疗计划中缺少护理等级</w:t>
            </w:r>
          </w:p>
          <w:p w14:paraId="450663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[术前小结]缺少术前讨论中的讨论意见</w:t>
            </w:r>
          </w:p>
          <w:p w14:paraId="211EDA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[死亡病例讨论记录]未记录死亡原因描述</w:t>
            </w:r>
          </w:p>
          <w:p w14:paraId="37B5FE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[术后首次病程]缺少取病理后家属过目及送检情况</w:t>
            </w:r>
          </w:p>
          <w:p w14:paraId="5C0172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17、</w:t>
            </w:r>
            <w:r>
              <w:rPr>
                <w:rFonts w:hint="eastAsia" w:asciiTheme="minorEastAsia" w:hAnsiTheme="minorEastAsia" w:eastAsiaTheme="minorEastAsia" w:cstheme="minorEastAsia"/>
                <w:sz w:val="21"/>
                <w:szCs w:val="21"/>
              </w:rPr>
              <w:t>[术后首次病程]缺少术后注意事项描述</w:t>
            </w:r>
          </w:p>
          <w:p w14:paraId="3E94B5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w:t>
            </w:r>
            <w:r>
              <w:rPr>
                <w:rFonts w:hint="eastAsia" w:asciiTheme="minorEastAsia" w:hAnsiTheme="minorEastAsia" w:eastAsiaTheme="minorEastAsia" w:cstheme="minorEastAsia"/>
                <w:sz w:val="21"/>
                <w:szCs w:val="21"/>
              </w:rPr>
              <w:t>[首程]病例特点缺少阳性/阴性症状和体征</w:t>
            </w:r>
          </w:p>
          <w:p w14:paraId="69F3DE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19、</w:t>
            </w:r>
            <w:r>
              <w:rPr>
                <w:rFonts w:hint="eastAsia" w:asciiTheme="minorEastAsia" w:hAnsiTheme="minorEastAsia" w:eastAsiaTheme="minorEastAsia" w:cstheme="minorEastAsia"/>
                <w:sz w:val="21"/>
                <w:szCs w:val="21"/>
              </w:rPr>
              <w:t>[有创操作记录]缺少操作后生命体征描述</w:t>
            </w:r>
          </w:p>
          <w:p w14:paraId="4BA679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▲[输血记录]缺少输血后疗效评价</w:t>
            </w:r>
          </w:p>
          <w:p w14:paraId="4C964D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21、</w:t>
            </w:r>
            <w:r>
              <w:rPr>
                <w:rFonts w:hint="eastAsia" w:asciiTheme="minorEastAsia" w:hAnsiTheme="minorEastAsia" w:eastAsiaTheme="minorEastAsia" w:cstheme="minorEastAsia"/>
                <w:sz w:val="21"/>
                <w:szCs w:val="21"/>
              </w:rPr>
              <w:t>[首程]鉴别诊断缺少确诊证据</w:t>
            </w:r>
          </w:p>
          <w:p w14:paraId="3D26BE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22、</w:t>
            </w:r>
            <w:r>
              <w:rPr>
                <w:rFonts w:hint="eastAsia" w:asciiTheme="minorEastAsia" w:hAnsiTheme="minorEastAsia" w:eastAsiaTheme="minorEastAsia" w:cstheme="minorEastAsia"/>
                <w:sz w:val="21"/>
                <w:szCs w:val="21"/>
              </w:rPr>
              <w:t>[手术记录]缺少术中病理结果描述</w:t>
            </w:r>
          </w:p>
        </w:tc>
        <w:tc>
          <w:tcPr>
            <w:tcW w:w="711" w:type="pct"/>
            <w:vAlign w:val="center"/>
          </w:tcPr>
          <w:p w14:paraId="1B58F734">
            <w:pPr>
              <w:pStyle w:val="30"/>
              <w:numPr>
                <w:ilvl w:val="0"/>
                <w:numId w:val="0"/>
              </w:numPr>
              <w:spacing w:line="400" w:lineRule="exact"/>
              <w:ind w:left="440" w:leftChars="0" w:hanging="440" w:firstLineChars="0"/>
              <w:rPr>
                <w:rFonts w:hint="eastAsia" w:ascii="宋体" w:hAnsi="宋体" w:eastAsia="宋体" w:cs="宋体"/>
                <w:kern w:val="0"/>
                <w:sz w:val="21"/>
                <w:szCs w:val="21"/>
              </w:rPr>
            </w:pPr>
          </w:p>
        </w:tc>
        <w:tc>
          <w:tcPr>
            <w:tcW w:w="545" w:type="pct"/>
            <w:vAlign w:val="center"/>
          </w:tcPr>
          <w:p w14:paraId="32094FD6">
            <w:pPr>
              <w:pStyle w:val="30"/>
              <w:numPr>
                <w:ilvl w:val="0"/>
                <w:numId w:val="0"/>
              </w:numPr>
              <w:spacing w:line="400" w:lineRule="exact"/>
              <w:ind w:leftChars="0"/>
              <w:rPr>
                <w:rFonts w:hint="eastAsia" w:ascii="宋体" w:hAnsi="宋体" w:eastAsia="宋体" w:cs="宋体"/>
                <w:kern w:val="0"/>
                <w:sz w:val="21"/>
                <w:szCs w:val="21"/>
              </w:rPr>
            </w:pPr>
          </w:p>
        </w:tc>
      </w:tr>
      <w:tr w14:paraId="511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64F8BC5">
            <w:pPr>
              <w:spacing w:line="400" w:lineRule="exact"/>
              <w:jc w:val="left"/>
              <w:rPr>
                <w:rFonts w:hint="eastAsia" w:ascii="宋体" w:hAnsi="宋体" w:cs="宋体"/>
                <w:kern w:val="0"/>
                <w:sz w:val="21"/>
                <w:szCs w:val="21"/>
              </w:rPr>
            </w:pPr>
          </w:p>
        </w:tc>
        <w:tc>
          <w:tcPr>
            <w:tcW w:w="592" w:type="pct"/>
            <w:vAlign w:val="center"/>
          </w:tcPr>
          <w:p w14:paraId="04B1D199">
            <w:pPr>
              <w:spacing w:line="400" w:lineRule="exact"/>
              <w:jc w:val="center"/>
              <w:rPr>
                <w:rFonts w:hint="eastAsia" w:ascii="宋体" w:hAnsi="宋体" w:cs="宋体"/>
                <w:color w:val="000000"/>
                <w:kern w:val="0"/>
                <w:sz w:val="21"/>
                <w:szCs w:val="21"/>
              </w:rPr>
            </w:pPr>
            <w:r>
              <w:rPr>
                <w:rFonts w:hint="eastAsia" w:ascii="宋体" w:hAnsi="宋体" w:cs="宋体"/>
                <w:color w:val="000000"/>
                <w:kern w:val="0"/>
                <w:sz w:val="21"/>
                <w:szCs w:val="21"/>
              </w:rPr>
              <w:t>内涵一致性</w:t>
            </w:r>
            <w:r>
              <w:rPr>
                <w:rFonts w:hint="eastAsia" w:ascii="宋体" w:hAnsi="宋体" w:cs="宋体"/>
                <w:kern w:val="0"/>
                <w:sz w:val="21"/>
                <w:szCs w:val="21"/>
              </w:rPr>
              <w:t>质控点</w:t>
            </w:r>
          </w:p>
        </w:tc>
        <w:tc>
          <w:tcPr>
            <w:tcW w:w="2432" w:type="pct"/>
            <w:vAlign w:val="center"/>
          </w:tcPr>
          <w:p w14:paraId="34C283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[出血量]手术记录和术后首次病程不一致</w:t>
            </w:r>
          </w:p>
          <w:p w14:paraId="253E39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[出院带药]出院记录出院医嘱内容和医嘱开立不一致</w:t>
            </w:r>
          </w:p>
          <w:p w14:paraId="5F2640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[入院记录]病史陈述者与意识状态矛盾</w:t>
            </w:r>
          </w:p>
          <w:p w14:paraId="5996DD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[手术日期]手术记录和手麻系统不一致</w:t>
            </w:r>
          </w:p>
          <w:p w14:paraId="0BBC8A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[入院记录]主诉与现病史的症状时间不一致</w:t>
            </w:r>
          </w:p>
          <w:p w14:paraId="5B11E5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[重合度]入院记录主诉和现病史关联较少</w:t>
            </w:r>
          </w:p>
          <w:p w14:paraId="58B102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[入院记录]主诉未能推导出第一诊断</w:t>
            </w:r>
          </w:p>
        </w:tc>
        <w:tc>
          <w:tcPr>
            <w:tcW w:w="711" w:type="pct"/>
            <w:vAlign w:val="center"/>
          </w:tcPr>
          <w:p w14:paraId="678A4C35">
            <w:pPr>
              <w:pStyle w:val="30"/>
              <w:numPr>
                <w:ilvl w:val="0"/>
                <w:numId w:val="0"/>
              </w:numPr>
              <w:spacing w:line="400" w:lineRule="exact"/>
              <w:ind w:leftChars="0"/>
              <w:rPr>
                <w:rFonts w:hint="eastAsia" w:ascii="宋体" w:hAnsi="宋体" w:eastAsia="宋体" w:cs="宋体"/>
                <w:kern w:val="0"/>
                <w:sz w:val="21"/>
                <w:szCs w:val="21"/>
              </w:rPr>
            </w:pPr>
          </w:p>
        </w:tc>
        <w:tc>
          <w:tcPr>
            <w:tcW w:w="545" w:type="pct"/>
            <w:vAlign w:val="center"/>
          </w:tcPr>
          <w:p w14:paraId="1BF206B8">
            <w:pPr>
              <w:pStyle w:val="30"/>
              <w:numPr>
                <w:ilvl w:val="0"/>
                <w:numId w:val="0"/>
              </w:numPr>
              <w:spacing w:line="400" w:lineRule="exact"/>
              <w:ind w:leftChars="0"/>
              <w:rPr>
                <w:rFonts w:hint="eastAsia" w:ascii="宋体" w:hAnsi="宋体" w:eastAsia="宋体" w:cs="宋体"/>
                <w:kern w:val="0"/>
                <w:sz w:val="21"/>
                <w:szCs w:val="21"/>
              </w:rPr>
            </w:pPr>
          </w:p>
        </w:tc>
      </w:tr>
      <w:tr w14:paraId="6CC4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5AC182A">
            <w:pPr>
              <w:spacing w:line="400" w:lineRule="exact"/>
              <w:jc w:val="left"/>
              <w:rPr>
                <w:rFonts w:hint="eastAsia" w:ascii="宋体" w:hAnsi="宋体" w:cs="宋体"/>
                <w:kern w:val="0"/>
                <w:sz w:val="21"/>
                <w:szCs w:val="21"/>
              </w:rPr>
            </w:pPr>
          </w:p>
        </w:tc>
        <w:tc>
          <w:tcPr>
            <w:tcW w:w="592" w:type="pct"/>
            <w:vAlign w:val="center"/>
          </w:tcPr>
          <w:p w14:paraId="5627C771">
            <w:pPr>
              <w:spacing w:line="400" w:lineRule="exact"/>
              <w:jc w:val="center"/>
              <w:rPr>
                <w:rFonts w:hint="eastAsia" w:ascii="宋体" w:hAnsi="宋体" w:cs="宋体"/>
                <w:color w:val="000000"/>
                <w:kern w:val="0"/>
                <w:sz w:val="21"/>
                <w:szCs w:val="21"/>
              </w:rPr>
            </w:pPr>
            <w:r>
              <w:rPr>
                <w:rFonts w:hint="eastAsia" w:ascii="宋体" w:hAnsi="宋体" w:cs="宋体"/>
                <w:kern w:val="0"/>
                <w:sz w:val="21"/>
                <w:szCs w:val="21"/>
              </w:rPr>
              <w:t>诊疗过程合理性质控点</w:t>
            </w:r>
          </w:p>
        </w:tc>
        <w:tc>
          <w:tcPr>
            <w:tcW w:w="2432" w:type="pct"/>
            <w:vAlign w:val="center"/>
          </w:tcPr>
          <w:p w14:paraId="4F1B1F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[细菌培养]培养结果未回填到病程记录中</w:t>
            </w:r>
          </w:p>
          <w:p w14:paraId="5E8610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[CT/MRI]检查结果未回填到病程记录中</w:t>
            </w:r>
          </w:p>
          <w:p w14:paraId="58248A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[有创操作记录]缺少操作后注意事项</w:t>
            </w:r>
          </w:p>
          <w:p w14:paraId="0CE1BD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▲[[病程记录]缺少抗菌药物使用情况描述</w:t>
            </w:r>
          </w:p>
          <w:p w14:paraId="4B2E79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[抢救记录]创建前6小时缺少对应抢救医嘱</w:t>
            </w:r>
          </w:p>
          <w:p w14:paraId="50EC03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[末次病程记录]出院患者缺少上级医师同意出院描述</w:t>
            </w:r>
          </w:p>
          <w:p w14:paraId="093DD0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[抢救记录]描述的时间未精确到分钟</w:t>
            </w:r>
          </w:p>
          <w:p w14:paraId="237B7D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[抢救记录]患者死亡缺少关键时间节点</w:t>
            </w:r>
          </w:p>
          <w:p w14:paraId="538D4C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[手术记录]缺少术中病理结果描述</w:t>
            </w:r>
          </w:p>
          <w:p w14:paraId="6EBC3A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▲[[病程记录]缺少病理检查结果描述</w:t>
            </w:r>
          </w:p>
          <w:p w14:paraId="46160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11、</w:t>
            </w:r>
            <w:r>
              <w:rPr>
                <w:rFonts w:hint="eastAsia" w:asciiTheme="minorEastAsia" w:hAnsiTheme="minorEastAsia" w:eastAsiaTheme="minorEastAsia" w:cstheme="minorEastAsia"/>
                <w:sz w:val="21"/>
                <w:szCs w:val="21"/>
              </w:rPr>
              <w:t>[检验结果]血常规、肝功能、肾功能、电解质检验结果回填后未分析</w:t>
            </w:r>
          </w:p>
          <w:p w14:paraId="55FB84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[死亡讨论记录]死亡时间未精确到分</w:t>
            </w:r>
          </w:p>
        </w:tc>
        <w:tc>
          <w:tcPr>
            <w:tcW w:w="711" w:type="pct"/>
            <w:vAlign w:val="center"/>
          </w:tcPr>
          <w:p w14:paraId="0E27F0D4">
            <w:pPr>
              <w:pStyle w:val="30"/>
              <w:numPr>
                <w:ilvl w:val="0"/>
                <w:numId w:val="0"/>
              </w:numPr>
              <w:spacing w:line="400" w:lineRule="exact"/>
              <w:ind w:leftChars="0"/>
              <w:rPr>
                <w:rFonts w:hint="eastAsia" w:ascii="宋体" w:hAnsi="宋体" w:eastAsia="宋体" w:cs="宋体"/>
                <w:color w:val="000000"/>
                <w:kern w:val="0"/>
                <w:sz w:val="21"/>
                <w:szCs w:val="21"/>
              </w:rPr>
            </w:pPr>
          </w:p>
        </w:tc>
        <w:tc>
          <w:tcPr>
            <w:tcW w:w="545" w:type="pct"/>
            <w:vAlign w:val="center"/>
          </w:tcPr>
          <w:p w14:paraId="5B09F6C4">
            <w:pPr>
              <w:pStyle w:val="30"/>
              <w:numPr>
                <w:ilvl w:val="0"/>
                <w:numId w:val="0"/>
              </w:numPr>
              <w:spacing w:line="400" w:lineRule="exact"/>
              <w:ind w:leftChars="0"/>
              <w:rPr>
                <w:rFonts w:hint="eastAsia" w:ascii="宋体" w:hAnsi="宋体" w:eastAsia="宋体" w:cs="宋体"/>
                <w:color w:val="000000"/>
                <w:kern w:val="0"/>
                <w:sz w:val="21"/>
                <w:szCs w:val="21"/>
              </w:rPr>
            </w:pPr>
          </w:p>
        </w:tc>
      </w:tr>
      <w:tr w14:paraId="1188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1815797D">
            <w:pPr>
              <w:spacing w:line="400" w:lineRule="exact"/>
              <w:jc w:val="left"/>
              <w:rPr>
                <w:rFonts w:hint="eastAsia" w:ascii="宋体" w:hAnsi="宋体" w:cs="宋体"/>
                <w:kern w:val="0"/>
                <w:sz w:val="21"/>
                <w:szCs w:val="21"/>
              </w:rPr>
            </w:pPr>
          </w:p>
        </w:tc>
        <w:tc>
          <w:tcPr>
            <w:tcW w:w="592" w:type="pct"/>
            <w:vAlign w:val="center"/>
          </w:tcPr>
          <w:p w14:paraId="0AE27D24">
            <w:pPr>
              <w:spacing w:line="400" w:lineRule="exact"/>
              <w:jc w:val="center"/>
              <w:rPr>
                <w:rFonts w:hint="eastAsia" w:ascii="宋体" w:hAnsi="宋体" w:cs="宋体"/>
                <w:kern w:val="0"/>
                <w:sz w:val="21"/>
                <w:szCs w:val="21"/>
              </w:rPr>
            </w:pPr>
            <w:r>
              <w:rPr>
                <w:rFonts w:hint="eastAsia" w:ascii="宋体" w:hAnsi="宋体" w:cs="宋体"/>
                <w:kern w:val="0"/>
                <w:sz w:val="21"/>
                <w:szCs w:val="21"/>
              </w:rPr>
              <w:t>专科质控质控点</w:t>
            </w:r>
          </w:p>
        </w:tc>
        <w:tc>
          <w:tcPr>
            <w:tcW w:w="2432" w:type="pct"/>
            <w:vAlign w:val="center"/>
          </w:tcPr>
          <w:p w14:paraId="2DE781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[肺癌]治疗前缺少胸部CT检查</w:t>
            </w:r>
          </w:p>
          <w:p w14:paraId="2561F6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[肺癌]出院小结缺少术后病理和辅助治疗意见</w:t>
            </w:r>
          </w:p>
          <w:p w14:paraId="3A311B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[肺癌]病程中缺少化疗前疗效评估</w:t>
            </w:r>
          </w:p>
          <w:p w14:paraId="08F3B3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[恶性肿瘤]化疗前的病程中缺少化疗方案</w:t>
            </w:r>
          </w:p>
          <w:p w14:paraId="083535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[肺癌]医患沟通记录缺少化疗方案告知描述</w:t>
            </w:r>
          </w:p>
          <w:p w14:paraId="7C572D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▲[[胃癌]手术记录中缺少病变涉及范围描述</w:t>
            </w:r>
          </w:p>
          <w:p w14:paraId="37780F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[胃癌]手术记录中安全切缘缺少验证措施</w:t>
            </w:r>
          </w:p>
          <w:p w14:paraId="13E8A0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[乳腺癌]拟行保乳术，术前讨论缺少手术指征</w:t>
            </w:r>
          </w:p>
          <w:p w14:paraId="5E53EE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[乳腺癌]术后记录病理结果的病程缺少肿瘤大小、切缘、脉管浸润描述</w:t>
            </w:r>
          </w:p>
          <w:p w14:paraId="54F550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[乳腺癌]化疗前医患沟通记录中缺少化疗方案告知内容</w:t>
            </w:r>
          </w:p>
          <w:p w14:paraId="622D88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11、</w:t>
            </w:r>
            <w:r>
              <w:rPr>
                <w:rFonts w:hint="eastAsia" w:asciiTheme="minorEastAsia" w:hAnsiTheme="minorEastAsia" w:eastAsiaTheme="minorEastAsia" w:cstheme="minorEastAsia"/>
                <w:sz w:val="21"/>
                <w:szCs w:val="21"/>
              </w:rPr>
              <w:t>[结肠癌]术前缺少营养风险筛查与评估记录</w:t>
            </w:r>
          </w:p>
          <w:p w14:paraId="07D20E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[结肠癌]术前营养支持未在病程记录中描述</w:t>
            </w:r>
          </w:p>
          <w:p w14:paraId="207943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w:t>
            </w:r>
            <w:r>
              <w:rPr>
                <w:rFonts w:hint="eastAsia" w:asciiTheme="minorEastAsia" w:hAnsiTheme="minorEastAsia" w:eastAsiaTheme="minorEastAsia" w:cstheme="minorEastAsia"/>
                <w:sz w:val="21"/>
                <w:szCs w:val="21"/>
              </w:rPr>
              <w:t>[结肠癌]手术记录未描述肿瘤是否完整切除</w:t>
            </w:r>
          </w:p>
          <w:p w14:paraId="671CA3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[结肠癌]手术记录缺少肠系膜切除面积描述</w:t>
            </w:r>
          </w:p>
          <w:p w14:paraId="50C515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[结肠癌]手术记录缺少肠管切除范围描述</w:t>
            </w:r>
          </w:p>
          <w:p w14:paraId="33DCEF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[结肠癌]术后应用镇痛药，病历中缺少疼痛强度评估</w:t>
            </w:r>
          </w:p>
        </w:tc>
        <w:tc>
          <w:tcPr>
            <w:tcW w:w="711" w:type="pct"/>
            <w:vAlign w:val="center"/>
          </w:tcPr>
          <w:p w14:paraId="02DFD590">
            <w:pPr>
              <w:pStyle w:val="30"/>
              <w:numPr>
                <w:ilvl w:val="0"/>
                <w:numId w:val="0"/>
              </w:numPr>
              <w:spacing w:line="400" w:lineRule="exact"/>
              <w:ind w:leftChars="0"/>
              <w:rPr>
                <w:rFonts w:hint="eastAsia" w:ascii="宋体" w:hAnsi="宋体" w:eastAsia="宋体" w:cs="宋体"/>
                <w:color w:val="000000"/>
                <w:kern w:val="0"/>
                <w:sz w:val="21"/>
                <w:szCs w:val="21"/>
              </w:rPr>
            </w:pPr>
          </w:p>
        </w:tc>
        <w:tc>
          <w:tcPr>
            <w:tcW w:w="545" w:type="pct"/>
            <w:vAlign w:val="center"/>
          </w:tcPr>
          <w:p w14:paraId="23095D1C">
            <w:pPr>
              <w:pStyle w:val="30"/>
              <w:numPr>
                <w:ilvl w:val="0"/>
                <w:numId w:val="0"/>
              </w:numPr>
              <w:spacing w:line="400" w:lineRule="exact"/>
              <w:ind w:leftChars="0"/>
              <w:rPr>
                <w:rFonts w:hint="eastAsia" w:ascii="宋体" w:hAnsi="宋体" w:eastAsia="宋体" w:cs="宋体"/>
                <w:color w:val="000000"/>
                <w:kern w:val="0"/>
                <w:sz w:val="21"/>
                <w:szCs w:val="21"/>
              </w:rPr>
            </w:pPr>
          </w:p>
        </w:tc>
      </w:tr>
      <w:tr w14:paraId="2D3F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74FEE8C7">
            <w:pPr>
              <w:spacing w:line="400" w:lineRule="exact"/>
              <w:jc w:val="left"/>
              <w:rPr>
                <w:rFonts w:hint="eastAsia" w:ascii="宋体" w:hAnsi="宋体" w:cs="宋体"/>
                <w:kern w:val="0"/>
                <w:sz w:val="21"/>
                <w:szCs w:val="21"/>
              </w:rPr>
            </w:pPr>
          </w:p>
        </w:tc>
        <w:tc>
          <w:tcPr>
            <w:tcW w:w="592" w:type="pct"/>
            <w:vAlign w:val="center"/>
          </w:tcPr>
          <w:p w14:paraId="72351E04">
            <w:pPr>
              <w:spacing w:line="400" w:lineRule="exact"/>
              <w:jc w:val="center"/>
              <w:rPr>
                <w:rFonts w:hint="eastAsia" w:ascii="宋体" w:hAnsi="宋体" w:cs="宋体"/>
                <w:kern w:val="0"/>
                <w:sz w:val="21"/>
                <w:szCs w:val="21"/>
              </w:rPr>
            </w:pPr>
            <w:r>
              <w:rPr>
                <w:rFonts w:hint="eastAsia" w:ascii="宋体" w:hAnsi="宋体" w:cs="宋体"/>
                <w:kern w:val="0"/>
                <w:sz w:val="21"/>
                <w:szCs w:val="21"/>
              </w:rPr>
              <w:t>客观逻辑一致性质控点</w:t>
            </w:r>
          </w:p>
        </w:tc>
        <w:tc>
          <w:tcPr>
            <w:tcW w:w="2432" w:type="pct"/>
            <w:vAlign w:val="center"/>
          </w:tcPr>
          <w:p w14:paraId="7ACD65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[男性]不应存在月经史</w:t>
            </w:r>
          </w:p>
          <w:p w14:paraId="34CA4E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[女性]查体与性别不符</w:t>
            </w:r>
          </w:p>
          <w:p w14:paraId="502965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[男性]查体与性别不符</w:t>
            </w:r>
          </w:p>
          <w:p w14:paraId="5F217D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[入院记录]患者和联系人电话号码一致</w:t>
            </w:r>
          </w:p>
        </w:tc>
        <w:tc>
          <w:tcPr>
            <w:tcW w:w="711" w:type="pct"/>
            <w:vAlign w:val="center"/>
          </w:tcPr>
          <w:p w14:paraId="4F2D6814">
            <w:pPr>
              <w:pStyle w:val="30"/>
              <w:numPr>
                <w:ilvl w:val="0"/>
                <w:numId w:val="0"/>
              </w:numPr>
              <w:spacing w:line="400" w:lineRule="exact"/>
              <w:ind w:leftChars="0"/>
              <w:rPr>
                <w:rFonts w:hint="eastAsia" w:ascii="宋体" w:hAnsi="宋体" w:eastAsia="宋体" w:cs="宋体"/>
                <w:color w:val="000000"/>
                <w:kern w:val="0"/>
                <w:sz w:val="21"/>
                <w:szCs w:val="21"/>
              </w:rPr>
            </w:pPr>
          </w:p>
        </w:tc>
        <w:tc>
          <w:tcPr>
            <w:tcW w:w="545" w:type="pct"/>
            <w:vAlign w:val="center"/>
          </w:tcPr>
          <w:p w14:paraId="71E16630">
            <w:pPr>
              <w:pStyle w:val="30"/>
              <w:numPr>
                <w:ilvl w:val="0"/>
                <w:numId w:val="0"/>
              </w:numPr>
              <w:spacing w:line="400" w:lineRule="exact"/>
              <w:ind w:leftChars="0"/>
              <w:rPr>
                <w:rFonts w:hint="eastAsia" w:ascii="宋体" w:hAnsi="宋体" w:eastAsia="宋体" w:cs="宋体"/>
                <w:color w:val="000000"/>
                <w:kern w:val="0"/>
                <w:sz w:val="21"/>
                <w:szCs w:val="21"/>
              </w:rPr>
            </w:pPr>
          </w:p>
        </w:tc>
      </w:tr>
      <w:tr w14:paraId="31B0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Merge w:val="continue"/>
            <w:vAlign w:val="center"/>
          </w:tcPr>
          <w:p w14:paraId="240DC34B">
            <w:pPr>
              <w:spacing w:line="400" w:lineRule="exact"/>
              <w:jc w:val="left"/>
              <w:rPr>
                <w:rFonts w:hint="eastAsia" w:ascii="宋体" w:hAnsi="宋体" w:cs="宋体"/>
                <w:kern w:val="0"/>
                <w:sz w:val="21"/>
                <w:szCs w:val="21"/>
              </w:rPr>
            </w:pPr>
          </w:p>
        </w:tc>
        <w:tc>
          <w:tcPr>
            <w:tcW w:w="592" w:type="pct"/>
            <w:vAlign w:val="center"/>
          </w:tcPr>
          <w:p w14:paraId="3F09E4CB">
            <w:pPr>
              <w:spacing w:line="400" w:lineRule="exact"/>
              <w:jc w:val="center"/>
              <w:rPr>
                <w:rFonts w:hint="eastAsia" w:ascii="宋体" w:hAnsi="宋体" w:cs="宋体"/>
                <w:kern w:val="0"/>
                <w:sz w:val="21"/>
                <w:szCs w:val="21"/>
              </w:rPr>
            </w:pPr>
            <w:r>
              <w:rPr>
                <w:rFonts w:hint="eastAsia" w:ascii="宋体" w:hAnsi="宋体" w:cs="宋体"/>
                <w:kern w:val="0"/>
                <w:sz w:val="21"/>
                <w:szCs w:val="21"/>
              </w:rPr>
              <w:t>雷同性质控点</w:t>
            </w:r>
          </w:p>
        </w:tc>
        <w:tc>
          <w:tcPr>
            <w:tcW w:w="2432" w:type="pct"/>
            <w:vAlign w:val="center"/>
          </w:tcPr>
          <w:p w14:paraId="799B23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[重合度]病程记录之间高度重合</w:t>
            </w:r>
          </w:p>
          <w:p w14:paraId="4FB56F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[重合度]首次病程记录和现病史高度重合</w:t>
            </w:r>
          </w:p>
          <w:p w14:paraId="7E8B38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[重合度]术前讨论和首次病程病历特点高度重合</w:t>
            </w:r>
          </w:p>
        </w:tc>
        <w:tc>
          <w:tcPr>
            <w:tcW w:w="711" w:type="pct"/>
            <w:vAlign w:val="center"/>
          </w:tcPr>
          <w:p w14:paraId="6936FDCB">
            <w:pPr>
              <w:pStyle w:val="30"/>
              <w:numPr>
                <w:ilvl w:val="0"/>
                <w:numId w:val="0"/>
              </w:numPr>
              <w:spacing w:line="400" w:lineRule="exact"/>
              <w:ind w:leftChars="0"/>
              <w:rPr>
                <w:rFonts w:hint="eastAsia" w:ascii="宋体" w:hAnsi="宋体" w:eastAsia="宋体" w:cs="宋体"/>
                <w:color w:val="000000"/>
                <w:kern w:val="0"/>
                <w:sz w:val="21"/>
                <w:szCs w:val="21"/>
              </w:rPr>
            </w:pPr>
          </w:p>
        </w:tc>
        <w:tc>
          <w:tcPr>
            <w:tcW w:w="545" w:type="pct"/>
            <w:vAlign w:val="center"/>
          </w:tcPr>
          <w:p w14:paraId="3E2023BF">
            <w:pPr>
              <w:pStyle w:val="30"/>
              <w:numPr>
                <w:ilvl w:val="0"/>
                <w:numId w:val="0"/>
              </w:numPr>
              <w:spacing w:line="400" w:lineRule="exact"/>
              <w:ind w:leftChars="0"/>
              <w:rPr>
                <w:rFonts w:hint="eastAsia" w:ascii="宋体" w:hAnsi="宋体" w:eastAsia="宋体" w:cs="宋体"/>
                <w:color w:val="000000"/>
                <w:kern w:val="0"/>
                <w:sz w:val="21"/>
                <w:szCs w:val="21"/>
              </w:rPr>
            </w:pPr>
          </w:p>
        </w:tc>
      </w:tr>
      <w:tr w14:paraId="5DFA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7" w:type="pct"/>
            <w:vAlign w:val="center"/>
          </w:tcPr>
          <w:p w14:paraId="0D223D26">
            <w:pPr>
              <w:pStyle w:val="30"/>
              <w:numPr>
                <w:ilvl w:val="0"/>
                <w:numId w:val="0"/>
              </w:numPr>
              <w:spacing w:line="400" w:lineRule="exact"/>
              <w:ind w:left="440" w:leftChars="0" w:hanging="440" w:firstLineChars="0"/>
              <w:jc w:val="center"/>
              <w:rPr>
                <w:rFonts w:hint="eastAsia" w:asciiTheme="minorEastAsia" w:hAnsiTheme="minorEastAsia" w:cstheme="minorEastAsia"/>
                <w:b/>
                <w:bCs/>
                <w:kern w:val="0"/>
                <w:sz w:val="21"/>
                <w:szCs w:val="21"/>
                <w:highlight w:val="none"/>
              </w:rPr>
            </w:pPr>
            <w:r>
              <w:rPr>
                <w:rFonts w:hint="default" w:ascii="宋体" w:hAnsi="宋体" w:cs="宋体" w:eastAsiaTheme="minorEastAsia"/>
                <w:b/>
                <w:bCs/>
                <w:kern w:val="0"/>
                <w:sz w:val="21"/>
                <w:szCs w:val="21"/>
                <w:lang w:val="en-US" w:eastAsia="zh-CN" w:bidi="ar-SA"/>
              </w:rPr>
              <w:t>13.</w:t>
            </w:r>
            <w:r>
              <w:rPr>
                <w:rFonts w:hint="eastAsia" w:asciiTheme="minorEastAsia" w:hAnsiTheme="minorEastAsia" w:cstheme="minorEastAsia"/>
                <w:b/>
                <w:bCs/>
                <w:kern w:val="0"/>
                <w:sz w:val="21"/>
                <w:szCs w:val="21"/>
                <w:highlight w:val="none"/>
              </w:rPr>
              <w:t>护理文书</w:t>
            </w:r>
          </w:p>
          <w:p w14:paraId="33FF4BAC">
            <w:pPr>
              <w:pStyle w:val="30"/>
              <w:numPr>
                <w:ilvl w:val="0"/>
                <w:numId w:val="0"/>
              </w:numPr>
              <w:spacing w:line="400" w:lineRule="exact"/>
              <w:ind w:left="440" w:leftChars="0" w:hanging="440" w:firstLineChars="0"/>
              <w:jc w:val="center"/>
              <w:rPr>
                <w:rFonts w:hint="eastAsia" w:ascii="宋体" w:hAnsi="宋体" w:cs="宋体"/>
                <w:kern w:val="0"/>
                <w:sz w:val="21"/>
                <w:szCs w:val="21"/>
                <w:highlight w:val="none"/>
              </w:rPr>
            </w:pPr>
            <w:r>
              <w:rPr>
                <w:rFonts w:hint="eastAsia" w:asciiTheme="minorEastAsia" w:hAnsiTheme="minorEastAsia" w:cstheme="minorEastAsia"/>
                <w:b/>
                <w:bCs/>
                <w:kern w:val="0"/>
                <w:sz w:val="21"/>
                <w:szCs w:val="21"/>
                <w:highlight w:val="none"/>
              </w:rPr>
              <w:t>专项质控</w:t>
            </w:r>
          </w:p>
        </w:tc>
        <w:tc>
          <w:tcPr>
            <w:tcW w:w="592" w:type="pct"/>
            <w:vAlign w:val="center"/>
          </w:tcPr>
          <w:p w14:paraId="6406E730">
            <w:pPr>
              <w:spacing w:line="400" w:lineRule="exact"/>
              <w:jc w:val="center"/>
              <w:rPr>
                <w:rFonts w:hint="eastAsia" w:ascii="宋体" w:hAnsi="宋体" w:cs="宋体"/>
                <w:kern w:val="0"/>
                <w:sz w:val="21"/>
                <w:szCs w:val="21"/>
                <w:highlight w:val="none"/>
              </w:rPr>
            </w:pPr>
            <w:r>
              <w:rPr>
                <w:rFonts w:hint="eastAsia" w:asciiTheme="minorEastAsia" w:hAnsiTheme="minorEastAsia" w:eastAsiaTheme="minorEastAsia" w:cstheme="minorEastAsia"/>
                <w:kern w:val="0"/>
                <w:sz w:val="21"/>
                <w:szCs w:val="21"/>
                <w:highlight w:val="none"/>
              </w:rPr>
              <w:t>护理文书专项质控点</w:t>
            </w:r>
          </w:p>
        </w:tc>
        <w:tc>
          <w:tcPr>
            <w:tcW w:w="2432" w:type="pct"/>
            <w:vAlign w:val="center"/>
          </w:tcPr>
          <w:p w14:paraId="13008A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护理文书专项质控点覆盖形式与内涵两大维度：</w:t>
            </w:r>
          </w:p>
          <w:p w14:paraId="16D959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形式质控：</w:t>
            </w:r>
          </w:p>
          <w:p w14:paraId="2B59AE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AI确保完整性（高频记录无断点、风险评估按时完成、关键操作双签无遗漏）、一致性（跨时段/跨表单数据连续，如体温单与护理记录联动）、规范性（专科术语标准、评估量表使用统一、时间节点合规）。</w:t>
            </w:r>
          </w:p>
          <w:p w14:paraId="2A94ED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内涵质控：</w:t>
            </w:r>
          </w:p>
          <w:p w14:paraId="2E6E1C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I基于护理专业知识库，审核合理性（护理措施与患者病情、风险等级匹配，如压疮预防与Braden评分）、内涵一致性（评估-干预-再评估闭环逻辑自洽，如跌倒风险与防护措施）、逻辑性（护理行为、病情变化、医嘱执行间的因果链条严密，如疼痛评分与镇痛措施响应）。</w:t>
            </w:r>
          </w:p>
          <w:p w14:paraId="514545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医生根据护理分级标准开立级别护理医嘱。医嘱未开立扣2分</w:t>
            </w:r>
            <w:r>
              <w:rPr>
                <w:rFonts w:hint="eastAsia" w:asciiTheme="minorEastAsia" w:hAnsiTheme="minorEastAsia" w:eastAsiaTheme="minorEastAsia" w:cstheme="minorEastAsia"/>
                <w:sz w:val="21"/>
                <w:szCs w:val="21"/>
                <w:lang w:eastAsia="zh-CN"/>
              </w:rPr>
              <w:t>。</w:t>
            </w:r>
          </w:p>
          <w:p w14:paraId="698D2E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无护理记录，扣5分</w:t>
            </w:r>
            <w:r>
              <w:rPr>
                <w:rFonts w:hint="eastAsia" w:asciiTheme="minorEastAsia" w:hAnsiTheme="minorEastAsia" w:eastAsiaTheme="minorEastAsia" w:cstheme="minorEastAsia"/>
                <w:sz w:val="21"/>
                <w:szCs w:val="21"/>
                <w:lang w:eastAsia="zh-CN"/>
              </w:rPr>
              <w:t>。</w:t>
            </w:r>
          </w:p>
          <w:p w14:paraId="6850A9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医嘱（护理级别）与实际病情不相符，扣2分</w:t>
            </w:r>
            <w:r>
              <w:rPr>
                <w:rFonts w:hint="eastAsia" w:asciiTheme="minorEastAsia" w:hAnsiTheme="minorEastAsia" w:eastAsiaTheme="minorEastAsia" w:cstheme="minorEastAsia"/>
                <w:sz w:val="21"/>
                <w:szCs w:val="21"/>
                <w:lang w:eastAsia="zh-CN"/>
              </w:rPr>
              <w:t>。</w:t>
            </w:r>
          </w:p>
          <w:p w14:paraId="798859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医疗记录与护理记录内容不一致</w:t>
            </w:r>
            <w:r>
              <w:rPr>
                <w:rFonts w:hint="eastAsia" w:asciiTheme="minorEastAsia" w:hAnsiTheme="minorEastAsia" w:eastAsiaTheme="minorEastAsia" w:cstheme="minorEastAsia"/>
                <w:sz w:val="21"/>
                <w:szCs w:val="21"/>
                <w:lang w:eastAsia="zh-CN"/>
              </w:rPr>
              <w:t>。</w:t>
            </w:r>
          </w:p>
          <w:p w14:paraId="7EE934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首次病程诊疗计划中缺少填写护理等级</w:t>
            </w:r>
            <w:r>
              <w:rPr>
                <w:rFonts w:hint="eastAsia" w:asciiTheme="minorEastAsia" w:hAnsiTheme="minorEastAsia" w:eastAsiaTheme="minorEastAsia" w:cstheme="minorEastAsia"/>
                <w:sz w:val="21"/>
                <w:szCs w:val="21"/>
                <w:lang w:eastAsia="zh-CN"/>
              </w:rPr>
              <w:t>。</w:t>
            </w:r>
          </w:p>
          <w:p w14:paraId="5399CD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首次病程记录中的诊疗计划中护理等级要与首次护理医嘱一致</w:t>
            </w:r>
            <w:r>
              <w:rPr>
                <w:rFonts w:hint="eastAsia" w:asciiTheme="minorEastAsia" w:hAnsiTheme="minorEastAsia" w:eastAsiaTheme="minorEastAsia" w:cstheme="minorEastAsia"/>
                <w:sz w:val="21"/>
                <w:szCs w:val="21"/>
                <w:lang w:eastAsia="zh-CN"/>
              </w:rPr>
              <w:t>。</w:t>
            </w:r>
          </w:p>
          <w:p w14:paraId="4E7D89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病程记录与护理记录中的压疮部位描述不一致</w:t>
            </w:r>
            <w:r>
              <w:rPr>
                <w:rFonts w:hint="eastAsia" w:asciiTheme="minorEastAsia" w:hAnsiTheme="minorEastAsia" w:eastAsiaTheme="minorEastAsia" w:cstheme="minorEastAsia"/>
                <w:sz w:val="21"/>
                <w:szCs w:val="21"/>
                <w:lang w:eastAsia="zh-CN"/>
              </w:rPr>
              <w:t>。</w:t>
            </w:r>
          </w:p>
          <w:p w14:paraId="41098C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拔除引流管医嘱时间晚于护理记录时间</w:t>
            </w:r>
            <w:r>
              <w:rPr>
                <w:rFonts w:hint="eastAsia" w:asciiTheme="minorEastAsia" w:hAnsiTheme="minorEastAsia" w:eastAsiaTheme="minorEastAsia" w:cstheme="minorEastAsia"/>
                <w:sz w:val="21"/>
                <w:szCs w:val="21"/>
                <w:lang w:eastAsia="zh-CN"/>
              </w:rPr>
              <w:t>。</w:t>
            </w:r>
          </w:p>
          <w:p w14:paraId="77E0173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一级/特级护理患者日常病程记录及时性质检</w:t>
            </w:r>
            <w:r>
              <w:rPr>
                <w:rFonts w:hint="eastAsia" w:asciiTheme="minorEastAsia" w:hAnsiTheme="minorEastAsia" w:eastAsiaTheme="minorEastAsia" w:cstheme="minorEastAsia"/>
                <w:sz w:val="21"/>
                <w:szCs w:val="21"/>
                <w:lang w:eastAsia="zh-CN"/>
              </w:rPr>
              <w:t>。</w:t>
            </w:r>
          </w:p>
        </w:tc>
        <w:tc>
          <w:tcPr>
            <w:tcW w:w="711" w:type="pct"/>
            <w:vAlign w:val="center"/>
          </w:tcPr>
          <w:p w14:paraId="2AC2B541">
            <w:pPr>
              <w:pStyle w:val="30"/>
              <w:numPr>
                <w:ilvl w:val="0"/>
                <w:numId w:val="0"/>
              </w:numPr>
              <w:spacing w:line="400" w:lineRule="exact"/>
              <w:ind w:leftChars="0"/>
              <w:rPr>
                <w:rFonts w:hint="eastAsia" w:asciiTheme="minorEastAsia" w:hAnsiTheme="minorEastAsia" w:cstheme="minorEastAsia"/>
                <w:kern w:val="0"/>
                <w:sz w:val="21"/>
                <w:szCs w:val="21"/>
                <w:highlight w:val="yellow"/>
              </w:rPr>
            </w:pPr>
          </w:p>
        </w:tc>
        <w:tc>
          <w:tcPr>
            <w:tcW w:w="545" w:type="pct"/>
            <w:vAlign w:val="center"/>
          </w:tcPr>
          <w:p w14:paraId="55468830">
            <w:pPr>
              <w:pStyle w:val="30"/>
              <w:numPr>
                <w:ilvl w:val="0"/>
                <w:numId w:val="0"/>
              </w:numPr>
              <w:spacing w:line="400" w:lineRule="exact"/>
              <w:ind w:leftChars="0"/>
              <w:rPr>
                <w:rFonts w:hint="eastAsia" w:asciiTheme="minorEastAsia" w:hAnsiTheme="minorEastAsia" w:cstheme="minorEastAsia"/>
                <w:kern w:val="0"/>
                <w:sz w:val="21"/>
                <w:szCs w:val="21"/>
                <w:highlight w:val="yellow"/>
              </w:rPr>
            </w:pPr>
          </w:p>
        </w:tc>
      </w:tr>
    </w:tbl>
    <w:p w14:paraId="4CB6315A">
      <w:pPr>
        <w:pStyle w:val="9"/>
        <w:rPr>
          <w:rFonts w:hint="eastAsia" w:cs="宋体"/>
          <w:b/>
          <w:color w:val="000000"/>
          <w:sz w:val="21"/>
          <w:szCs w:val="21"/>
          <w:lang w:eastAsia="zh-CN"/>
        </w:rPr>
      </w:pPr>
    </w:p>
    <w:p w14:paraId="21E4A7EB">
      <w:pPr>
        <w:rPr>
          <w:rFonts w:hint="eastAsia" w:cs="宋体"/>
          <w:b/>
          <w:color w:val="000000"/>
          <w:sz w:val="28"/>
          <w:szCs w:val="28"/>
          <w:lang w:val="en-US" w:eastAsia="zh-CN"/>
        </w:rPr>
      </w:pPr>
      <w:r>
        <w:rPr>
          <w:rFonts w:hint="eastAsia" w:cs="宋体"/>
          <w:b/>
          <w:color w:val="000000"/>
          <w:sz w:val="28"/>
          <w:szCs w:val="28"/>
          <w:lang w:val="en-US" w:eastAsia="zh-CN"/>
        </w:rPr>
        <w:br w:type="page"/>
      </w:r>
    </w:p>
    <w:p w14:paraId="710EFC5B">
      <w:pPr>
        <w:pStyle w:val="9"/>
        <w:jc w:val="center"/>
        <w:rPr>
          <w:rFonts w:hint="eastAsia" w:cs="宋体"/>
          <w:b/>
          <w:color w:val="000000"/>
          <w:sz w:val="28"/>
          <w:szCs w:val="28"/>
          <w:lang w:eastAsia="zh-CN"/>
        </w:rPr>
      </w:pPr>
      <w:r>
        <w:rPr>
          <w:rFonts w:hint="eastAsia" w:cs="宋体"/>
          <w:b/>
          <w:color w:val="000000"/>
          <w:sz w:val="28"/>
          <w:szCs w:val="28"/>
          <w:lang w:val="en-US" w:eastAsia="zh-CN"/>
        </w:rPr>
        <w:t>二</w:t>
      </w:r>
      <w:r>
        <w:rPr>
          <w:rFonts w:hint="eastAsia" w:cs="宋体"/>
          <w:b/>
          <w:color w:val="000000"/>
          <w:sz w:val="28"/>
          <w:szCs w:val="28"/>
          <w:lang w:eastAsia="zh-CN"/>
        </w:rPr>
        <w:t>、大模型病历质控及病历生成系统</w:t>
      </w:r>
    </w:p>
    <w:tbl>
      <w:tblPr>
        <w:tblStyle w:val="19"/>
        <w:tblW w:w="48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109"/>
        <w:gridCol w:w="4812"/>
        <w:gridCol w:w="1126"/>
        <w:gridCol w:w="1085"/>
      </w:tblGrid>
      <w:tr w14:paraId="7100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79" w:type="pct"/>
            <w:vAlign w:val="center"/>
          </w:tcPr>
          <w:p w14:paraId="5CA78D2A">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分系统名称</w:t>
            </w:r>
          </w:p>
        </w:tc>
        <w:tc>
          <w:tcPr>
            <w:tcW w:w="589" w:type="pct"/>
            <w:vAlign w:val="center"/>
          </w:tcPr>
          <w:p w14:paraId="22DF7E51">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系统功能</w:t>
            </w:r>
          </w:p>
        </w:tc>
        <w:tc>
          <w:tcPr>
            <w:tcW w:w="2555" w:type="pct"/>
            <w:vAlign w:val="center"/>
          </w:tcPr>
          <w:p w14:paraId="72FDBF24">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rPr>
              <w:t>功能描述及要求</w:t>
            </w:r>
          </w:p>
        </w:tc>
        <w:tc>
          <w:tcPr>
            <w:tcW w:w="598" w:type="pct"/>
            <w:vAlign w:val="center"/>
          </w:tcPr>
          <w:p w14:paraId="631795C9">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lang w:val="en-US" w:eastAsia="zh-CN"/>
              </w:rPr>
              <w:t>偏离说明</w:t>
            </w:r>
          </w:p>
        </w:tc>
        <w:tc>
          <w:tcPr>
            <w:tcW w:w="576" w:type="pct"/>
            <w:vAlign w:val="center"/>
          </w:tcPr>
          <w:p w14:paraId="287A9DC2">
            <w:pPr>
              <w:pStyle w:val="30"/>
              <w:ind w:firstLine="0" w:firstLineChars="0"/>
              <w:jc w:val="center"/>
              <w:rPr>
                <w:rFonts w:hint="eastAsia" w:cs="宋体" w:asciiTheme="minorEastAsia" w:hAnsiTheme="minorEastAsia"/>
                <w:b/>
                <w:bCs/>
                <w:kern w:val="0"/>
                <w:sz w:val="21"/>
                <w:szCs w:val="21"/>
              </w:rPr>
            </w:pPr>
            <w:r>
              <w:rPr>
                <w:rFonts w:hint="eastAsia" w:cs="宋体" w:asciiTheme="minorEastAsia" w:hAnsiTheme="minorEastAsia"/>
                <w:b/>
                <w:bCs/>
                <w:kern w:val="0"/>
                <w:sz w:val="21"/>
                <w:szCs w:val="21"/>
                <w:lang w:val="en-US" w:eastAsia="zh-CN"/>
              </w:rPr>
              <w:t>备注</w:t>
            </w:r>
          </w:p>
        </w:tc>
      </w:tr>
      <w:tr w14:paraId="0CAB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restart"/>
            <w:vAlign w:val="center"/>
          </w:tcPr>
          <w:p w14:paraId="4AD7515A">
            <w:pPr>
              <w:pStyle w:val="30"/>
              <w:numPr>
                <w:ilvl w:val="0"/>
                <w:numId w:val="0"/>
              </w:numPr>
              <w:spacing w:line="400" w:lineRule="exact"/>
              <w:ind w:left="440" w:leftChars="0" w:hanging="440" w:firstLineChars="0"/>
              <w:rPr>
                <w:rFonts w:hint="eastAsia" w:ascii="宋体" w:hAnsi="宋体" w:eastAsia="宋体" w:cs="宋体"/>
                <w:b/>
                <w:bCs/>
                <w:kern w:val="0"/>
                <w:sz w:val="21"/>
                <w:szCs w:val="21"/>
              </w:rPr>
            </w:pPr>
            <w:r>
              <w:rPr>
                <w:rFonts w:hint="default" w:ascii="宋体" w:hAnsi="宋体" w:eastAsia="宋体" w:cs="宋体"/>
                <w:b/>
                <w:bCs/>
                <w:kern w:val="0"/>
                <w:sz w:val="21"/>
                <w:szCs w:val="21"/>
                <w:lang w:val="en-US" w:eastAsia="zh-CN" w:bidi="ar-SA"/>
              </w:rPr>
              <w:t>14.</w:t>
            </w:r>
            <w:r>
              <w:rPr>
                <w:rFonts w:hint="eastAsia" w:ascii="宋体" w:hAnsi="宋体" w:eastAsia="宋体" w:cs="宋体"/>
                <w:b/>
                <w:bCs/>
                <w:kern w:val="0"/>
                <w:sz w:val="21"/>
                <w:szCs w:val="21"/>
              </w:rPr>
              <w:t>技术底座</w:t>
            </w:r>
          </w:p>
        </w:tc>
        <w:tc>
          <w:tcPr>
            <w:tcW w:w="589" w:type="pct"/>
            <w:vAlign w:val="center"/>
          </w:tcPr>
          <w:p w14:paraId="4158D0A6">
            <w:pPr>
              <w:spacing w:line="400" w:lineRule="exact"/>
              <w:jc w:val="center"/>
              <w:rPr>
                <w:rFonts w:hint="eastAsia" w:ascii="宋体" w:hAnsi="宋体" w:cs="宋体"/>
                <w:b/>
                <w:bCs/>
                <w:kern w:val="0"/>
                <w:sz w:val="21"/>
                <w:szCs w:val="21"/>
              </w:rPr>
            </w:pPr>
            <w:r>
              <w:rPr>
                <w:rFonts w:hint="eastAsia" w:ascii="宋体" w:hAnsi="宋体" w:cs="宋体"/>
                <w:kern w:val="0"/>
                <w:sz w:val="21"/>
                <w:szCs w:val="21"/>
              </w:rPr>
              <w:t>数据采集</w:t>
            </w:r>
          </w:p>
        </w:tc>
        <w:tc>
          <w:tcPr>
            <w:tcW w:w="2555" w:type="pct"/>
            <w:vAlign w:val="center"/>
          </w:tcPr>
          <w:p w14:paraId="074939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数据采集:与电子病历、HIS系统进行前端功能接口对接，支持各类主流开发框架及开发语言，对接方式支持：客户端、dll、jssdk等，实现功能实时触发，数据实时采集。</w:t>
            </w:r>
          </w:p>
        </w:tc>
        <w:tc>
          <w:tcPr>
            <w:tcW w:w="598" w:type="pct"/>
            <w:vAlign w:val="center"/>
          </w:tcPr>
          <w:p w14:paraId="6D451720">
            <w:pPr>
              <w:spacing w:line="400" w:lineRule="exact"/>
              <w:jc w:val="left"/>
              <w:rPr>
                <w:rStyle w:val="78"/>
                <w:rFonts w:hint="default"/>
                <w:sz w:val="21"/>
                <w:szCs w:val="21"/>
                <w:lang w:bidi="ar"/>
              </w:rPr>
            </w:pPr>
          </w:p>
        </w:tc>
        <w:tc>
          <w:tcPr>
            <w:tcW w:w="576" w:type="pct"/>
            <w:vAlign w:val="center"/>
          </w:tcPr>
          <w:p w14:paraId="5BCC2FDD">
            <w:pPr>
              <w:spacing w:line="400" w:lineRule="exact"/>
              <w:jc w:val="left"/>
              <w:rPr>
                <w:rStyle w:val="78"/>
                <w:rFonts w:hint="default"/>
                <w:sz w:val="21"/>
                <w:szCs w:val="21"/>
                <w:lang w:bidi="ar"/>
              </w:rPr>
            </w:pPr>
          </w:p>
        </w:tc>
      </w:tr>
      <w:tr w14:paraId="584A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0" w:hRule="atLeast"/>
        </w:trPr>
        <w:tc>
          <w:tcPr>
            <w:tcW w:w="679" w:type="pct"/>
            <w:vMerge w:val="continue"/>
            <w:vAlign w:val="center"/>
          </w:tcPr>
          <w:p w14:paraId="4CC1E8C2">
            <w:pPr>
              <w:spacing w:line="400" w:lineRule="exact"/>
              <w:jc w:val="center"/>
              <w:rPr>
                <w:rFonts w:hint="eastAsia" w:ascii="宋体" w:hAnsi="宋体" w:cs="宋体"/>
                <w:b/>
                <w:bCs/>
                <w:kern w:val="0"/>
                <w:sz w:val="21"/>
                <w:szCs w:val="21"/>
              </w:rPr>
            </w:pPr>
          </w:p>
        </w:tc>
        <w:tc>
          <w:tcPr>
            <w:tcW w:w="589" w:type="pct"/>
            <w:vAlign w:val="center"/>
          </w:tcPr>
          <w:p w14:paraId="460B4A1F">
            <w:pPr>
              <w:spacing w:line="400" w:lineRule="exact"/>
              <w:jc w:val="center"/>
              <w:rPr>
                <w:rFonts w:hint="eastAsia" w:ascii="宋体" w:hAnsi="宋体" w:cs="宋体"/>
                <w:kern w:val="0"/>
                <w:sz w:val="21"/>
                <w:szCs w:val="21"/>
              </w:rPr>
            </w:pPr>
            <w:r>
              <w:rPr>
                <w:rFonts w:hint="eastAsia" w:ascii="宋体" w:hAnsi="宋体" w:cs="宋体"/>
                <w:kern w:val="0"/>
                <w:sz w:val="21"/>
                <w:szCs w:val="21"/>
              </w:rPr>
              <w:t>数据质量管理</w:t>
            </w:r>
          </w:p>
        </w:tc>
        <w:tc>
          <w:tcPr>
            <w:tcW w:w="2555" w:type="pct"/>
            <w:vAlign w:val="center"/>
          </w:tcPr>
          <w:p w14:paraId="3A2753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数据质量管理：</w:t>
            </w:r>
          </w:p>
          <w:p w14:paraId="11B9CB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▲自动对病房医师、门诊医师、检查科室、检验处理等业务项目自动进行数据质量评分，评分维度包括数据质量评分、完整性、整合性。</w:t>
            </w:r>
          </w:p>
          <w:p w14:paraId="1FC6B4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对各个业务数据的编码对照率、字段有值率、字段关联率、时间顺序正确进行自动统计。临床数据整合的完整性评价项目需到达电子病历五级标准规定的74项，需详细展示全部项目列表，其中每一个评价项目的完整记录数、不完整记录数、质量系数。可直接查看所有评价项目的sql配置。</w:t>
            </w:r>
          </w:p>
          <w:p w14:paraId="24FB6C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▲对于不完整记录数可下钻至记录明细，记录明细至少包含：角色、业务项目、评价标准、评价项目、未通过记录ID、患者标识。</w:t>
            </w:r>
          </w:p>
        </w:tc>
        <w:tc>
          <w:tcPr>
            <w:tcW w:w="598" w:type="pct"/>
            <w:vAlign w:val="center"/>
          </w:tcPr>
          <w:p w14:paraId="210FDD35">
            <w:pPr>
              <w:pStyle w:val="30"/>
              <w:numPr>
                <w:ilvl w:val="0"/>
                <w:numId w:val="0"/>
              </w:numPr>
              <w:spacing w:line="400" w:lineRule="exact"/>
              <w:ind w:left="35" w:leftChars="0"/>
              <w:jc w:val="left"/>
              <w:rPr>
                <w:rFonts w:hint="eastAsia" w:ascii="宋体" w:hAnsi="宋体" w:eastAsia="宋体" w:cs="宋体"/>
                <w:sz w:val="21"/>
                <w:szCs w:val="21"/>
              </w:rPr>
            </w:pPr>
          </w:p>
        </w:tc>
        <w:tc>
          <w:tcPr>
            <w:tcW w:w="576" w:type="pct"/>
            <w:vAlign w:val="center"/>
          </w:tcPr>
          <w:p w14:paraId="280730D2">
            <w:pPr>
              <w:pStyle w:val="30"/>
              <w:numPr>
                <w:ilvl w:val="0"/>
                <w:numId w:val="0"/>
              </w:numPr>
              <w:spacing w:line="400" w:lineRule="exact"/>
              <w:ind w:left="35" w:leftChars="0"/>
              <w:jc w:val="left"/>
              <w:rPr>
                <w:rFonts w:hint="eastAsia" w:ascii="宋体" w:hAnsi="宋体" w:eastAsia="宋体" w:cs="宋体"/>
                <w:sz w:val="21"/>
                <w:szCs w:val="21"/>
              </w:rPr>
            </w:pPr>
          </w:p>
        </w:tc>
      </w:tr>
      <w:tr w14:paraId="18BB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679" w:type="pct"/>
            <w:vMerge w:val="continue"/>
            <w:vAlign w:val="center"/>
          </w:tcPr>
          <w:p w14:paraId="4018611A">
            <w:pPr>
              <w:spacing w:line="400" w:lineRule="exact"/>
              <w:jc w:val="center"/>
              <w:rPr>
                <w:rFonts w:hint="eastAsia" w:ascii="宋体" w:hAnsi="宋体" w:cs="宋体"/>
                <w:kern w:val="0"/>
                <w:sz w:val="21"/>
                <w:szCs w:val="21"/>
              </w:rPr>
            </w:pPr>
          </w:p>
        </w:tc>
        <w:tc>
          <w:tcPr>
            <w:tcW w:w="589" w:type="pct"/>
            <w:vMerge w:val="restart"/>
            <w:vAlign w:val="center"/>
          </w:tcPr>
          <w:p w14:paraId="025207AD">
            <w:pPr>
              <w:spacing w:line="400" w:lineRule="exact"/>
              <w:rPr>
                <w:rFonts w:hint="eastAsia" w:ascii="宋体" w:hAnsi="宋体" w:cs="宋体"/>
                <w:b/>
                <w:bCs/>
                <w:kern w:val="0"/>
                <w:sz w:val="21"/>
                <w:szCs w:val="21"/>
              </w:rPr>
            </w:pPr>
            <w:r>
              <w:rPr>
                <w:rFonts w:hint="eastAsia" w:ascii="宋体" w:hAnsi="宋体" w:cs="宋体"/>
                <w:b w:val="0"/>
                <w:bCs w:val="0"/>
                <w:kern w:val="0"/>
                <w:sz w:val="21"/>
                <w:szCs w:val="21"/>
              </w:rPr>
              <w:t>人机交互</w:t>
            </w:r>
          </w:p>
        </w:tc>
        <w:tc>
          <w:tcPr>
            <w:tcW w:w="2555" w:type="pct"/>
            <w:vAlign w:val="center"/>
          </w:tcPr>
          <w:p w14:paraId="1FFD3A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医生端交互：病历质控系统前端交互插件与大模型交互插件采用一体化浮窗设计，当用户在电子病历或HIS系统进行操作时，自动调用插件相关功能模块，所有子系统的交互信息通过一体式的浮窗进行人机交互，不出现多个弹窗。</w:t>
            </w:r>
          </w:p>
        </w:tc>
        <w:tc>
          <w:tcPr>
            <w:tcW w:w="598" w:type="pct"/>
            <w:vAlign w:val="center"/>
          </w:tcPr>
          <w:p w14:paraId="7AA0F445">
            <w:pPr>
              <w:spacing w:line="400" w:lineRule="exact"/>
              <w:jc w:val="left"/>
              <w:rPr>
                <w:rFonts w:hint="eastAsia" w:ascii="宋体" w:hAnsi="宋体"/>
                <w:sz w:val="21"/>
                <w:szCs w:val="21"/>
              </w:rPr>
            </w:pPr>
          </w:p>
        </w:tc>
        <w:tc>
          <w:tcPr>
            <w:tcW w:w="576" w:type="pct"/>
            <w:vAlign w:val="center"/>
          </w:tcPr>
          <w:p w14:paraId="13E5CB4D">
            <w:pPr>
              <w:spacing w:line="400" w:lineRule="exact"/>
              <w:jc w:val="left"/>
              <w:rPr>
                <w:rFonts w:hint="eastAsia" w:ascii="宋体" w:hAnsi="宋体"/>
                <w:sz w:val="21"/>
                <w:szCs w:val="21"/>
              </w:rPr>
            </w:pPr>
          </w:p>
        </w:tc>
      </w:tr>
      <w:tr w14:paraId="71E5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679" w:type="pct"/>
            <w:vMerge w:val="continue"/>
            <w:vAlign w:val="center"/>
          </w:tcPr>
          <w:p w14:paraId="405AE6DA">
            <w:pPr>
              <w:spacing w:line="400" w:lineRule="exact"/>
              <w:jc w:val="center"/>
              <w:rPr>
                <w:rFonts w:hint="eastAsia" w:ascii="宋体" w:hAnsi="宋体" w:cs="宋体"/>
                <w:kern w:val="0"/>
                <w:sz w:val="21"/>
                <w:szCs w:val="21"/>
              </w:rPr>
            </w:pPr>
          </w:p>
        </w:tc>
        <w:tc>
          <w:tcPr>
            <w:tcW w:w="589" w:type="pct"/>
            <w:vMerge w:val="continue"/>
            <w:vAlign w:val="center"/>
          </w:tcPr>
          <w:p w14:paraId="7A56FDAD">
            <w:pPr>
              <w:spacing w:line="400" w:lineRule="exact"/>
              <w:jc w:val="center"/>
              <w:rPr>
                <w:rFonts w:hint="eastAsia" w:ascii="宋体" w:hAnsi="宋体" w:cs="宋体"/>
                <w:kern w:val="0"/>
                <w:sz w:val="21"/>
                <w:szCs w:val="21"/>
              </w:rPr>
            </w:pPr>
          </w:p>
        </w:tc>
        <w:tc>
          <w:tcPr>
            <w:tcW w:w="2555" w:type="pct"/>
            <w:vAlign w:val="center"/>
          </w:tcPr>
          <w:p w14:paraId="764ED6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管理端交互：应符合电子病历评级对于知识库统一管理的要求，所有子系统管理端均通过统一的用户中心进行管理，用户只需登录一次，即可进入各个子模块的管理端进行操作，如统计分析功能、系统配置等。</w:t>
            </w:r>
          </w:p>
        </w:tc>
        <w:tc>
          <w:tcPr>
            <w:tcW w:w="598" w:type="pct"/>
            <w:vAlign w:val="center"/>
          </w:tcPr>
          <w:p w14:paraId="492C1860">
            <w:pPr>
              <w:spacing w:line="400" w:lineRule="exact"/>
              <w:jc w:val="left"/>
              <w:rPr>
                <w:rFonts w:hint="eastAsia" w:ascii="宋体" w:hAnsi="宋体" w:cs="宋体"/>
                <w:kern w:val="0"/>
                <w:sz w:val="21"/>
                <w:szCs w:val="21"/>
              </w:rPr>
            </w:pPr>
          </w:p>
        </w:tc>
        <w:tc>
          <w:tcPr>
            <w:tcW w:w="576" w:type="pct"/>
            <w:vAlign w:val="center"/>
          </w:tcPr>
          <w:p w14:paraId="6D0C73A8">
            <w:pPr>
              <w:spacing w:line="400" w:lineRule="exact"/>
              <w:jc w:val="left"/>
              <w:rPr>
                <w:rFonts w:hint="eastAsia" w:ascii="宋体" w:hAnsi="宋体" w:cs="宋体"/>
                <w:kern w:val="0"/>
                <w:sz w:val="21"/>
                <w:szCs w:val="21"/>
              </w:rPr>
            </w:pPr>
          </w:p>
        </w:tc>
      </w:tr>
      <w:tr w14:paraId="18D7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restart"/>
            <w:vAlign w:val="center"/>
          </w:tcPr>
          <w:p w14:paraId="313838EF">
            <w:pPr>
              <w:pStyle w:val="30"/>
              <w:numPr>
                <w:ilvl w:val="0"/>
                <w:numId w:val="0"/>
              </w:numPr>
              <w:spacing w:line="400" w:lineRule="exact"/>
              <w:ind w:left="440" w:leftChars="0" w:hanging="440" w:firstLineChars="0"/>
              <w:rPr>
                <w:rFonts w:hint="eastAsia" w:ascii="宋体" w:hAnsi="宋体" w:eastAsia="宋体" w:cs="宋体"/>
                <w:b/>
                <w:bCs/>
                <w:kern w:val="0"/>
                <w:sz w:val="21"/>
                <w:szCs w:val="21"/>
              </w:rPr>
            </w:pPr>
            <w:r>
              <w:rPr>
                <w:rFonts w:hint="default" w:ascii="宋体" w:hAnsi="宋体" w:eastAsia="宋体" w:cs="宋体"/>
                <w:b/>
                <w:bCs/>
                <w:kern w:val="0"/>
                <w:sz w:val="21"/>
                <w:szCs w:val="21"/>
                <w:lang w:val="en-US" w:eastAsia="zh-CN" w:bidi="ar-SA"/>
              </w:rPr>
              <w:t>15.</w:t>
            </w:r>
            <w:r>
              <w:rPr>
                <w:rFonts w:hint="eastAsia" w:ascii="宋体" w:hAnsi="宋体" w:eastAsia="宋体" w:cs="宋体"/>
                <w:b/>
                <w:bCs/>
                <w:kern w:val="0"/>
                <w:sz w:val="21"/>
                <w:szCs w:val="21"/>
              </w:rPr>
              <w:t>大模型引擎</w:t>
            </w:r>
          </w:p>
        </w:tc>
        <w:tc>
          <w:tcPr>
            <w:tcW w:w="589" w:type="pct"/>
            <w:vAlign w:val="center"/>
          </w:tcPr>
          <w:p w14:paraId="54ECFDA4">
            <w:pPr>
              <w:spacing w:line="400" w:lineRule="exact"/>
              <w:jc w:val="center"/>
              <w:rPr>
                <w:rFonts w:hint="eastAsia" w:ascii="宋体" w:hAnsi="宋体" w:cs="楷体"/>
                <w:sz w:val="21"/>
                <w:szCs w:val="21"/>
              </w:rPr>
            </w:pPr>
            <w:r>
              <w:rPr>
                <w:rFonts w:hint="eastAsia" w:ascii="宋体" w:hAnsi="宋体" w:cs="楷体"/>
                <w:sz w:val="21"/>
                <w:szCs w:val="21"/>
              </w:rPr>
              <w:t>模型部署</w:t>
            </w:r>
          </w:p>
        </w:tc>
        <w:tc>
          <w:tcPr>
            <w:tcW w:w="2555" w:type="pct"/>
            <w:vAlign w:val="center"/>
          </w:tcPr>
          <w:p w14:paraId="22CB6E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支持院内私有化部署。</w:t>
            </w:r>
          </w:p>
          <w:p w14:paraId="714B6F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支持基于国产昇腾架构推理机进行推理计算。</w:t>
            </w:r>
          </w:p>
        </w:tc>
        <w:tc>
          <w:tcPr>
            <w:tcW w:w="598" w:type="pct"/>
            <w:vAlign w:val="center"/>
          </w:tcPr>
          <w:p w14:paraId="3D350925">
            <w:pPr>
              <w:pStyle w:val="30"/>
              <w:numPr>
                <w:ilvl w:val="0"/>
                <w:numId w:val="0"/>
              </w:numPr>
              <w:tabs>
                <w:tab w:val="left" w:pos="425"/>
              </w:tabs>
              <w:spacing w:line="400" w:lineRule="exact"/>
              <w:ind w:leftChars="0"/>
              <w:rPr>
                <w:rFonts w:hint="eastAsia" w:ascii="宋体" w:hAnsi="宋体" w:eastAsia="宋体" w:cs="楷体"/>
                <w:sz w:val="21"/>
                <w:szCs w:val="21"/>
              </w:rPr>
            </w:pPr>
          </w:p>
        </w:tc>
        <w:tc>
          <w:tcPr>
            <w:tcW w:w="576" w:type="pct"/>
            <w:vAlign w:val="center"/>
          </w:tcPr>
          <w:p w14:paraId="1035BB5D">
            <w:pPr>
              <w:pStyle w:val="30"/>
              <w:numPr>
                <w:ilvl w:val="0"/>
                <w:numId w:val="0"/>
              </w:numPr>
              <w:tabs>
                <w:tab w:val="left" w:pos="425"/>
              </w:tabs>
              <w:spacing w:line="400" w:lineRule="exact"/>
              <w:ind w:leftChars="0"/>
              <w:rPr>
                <w:rFonts w:hint="eastAsia" w:ascii="宋体" w:hAnsi="宋体" w:eastAsia="宋体" w:cs="楷体"/>
                <w:sz w:val="21"/>
                <w:szCs w:val="21"/>
              </w:rPr>
            </w:pPr>
          </w:p>
        </w:tc>
      </w:tr>
      <w:tr w14:paraId="12B4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79" w:type="pct"/>
            <w:vMerge w:val="continue"/>
            <w:vAlign w:val="center"/>
          </w:tcPr>
          <w:p w14:paraId="300D83D7">
            <w:pPr>
              <w:spacing w:line="400" w:lineRule="exact"/>
              <w:rPr>
                <w:rFonts w:hint="eastAsia" w:ascii="宋体" w:hAnsi="宋体" w:cs="宋体"/>
                <w:b/>
                <w:bCs/>
                <w:kern w:val="0"/>
                <w:sz w:val="21"/>
                <w:szCs w:val="21"/>
              </w:rPr>
            </w:pPr>
          </w:p>
        </w:tc>
        <w:tc>
          <w:tcPr>
            <w:tcW w:w="589" w:type="pct"/>
            <w:vAlign w:val="center"/>
          </w:tcPr>
          <w:p w14:paraId="1187A19B">
            <w:pPr>
              <w:spacing w:line="400" w:lineRule="exact"/>
              <w:jc w:val="center"/>
              <w:rPr>
                <w:rFonts w:hint="eastAsia" w:ascii="宋体" w:hAnsi="宋体" w:cs="楷体"/>
                <w:sz w:val="21"/>
                <w:szCs w:val="21"/>
              </w:rPr>
            </w:pPr>
            <w:r>
              <w:rPr>
                <w:rFonts w:hint="eastAsia" w:ascii="宋体" w:hAnsi="宋体" w:cs="楷体"/>
                <w:sz w:val="21"/>
                <w:szCs w:val="21"/>
              </w:rPr>
              <w:t>预训练</w:t>
            </w:r>
          </w:p>
        </w:tc>
        <w:tc>
          <w:tcPr>
            <w:tcW w:w="2555" w:type="pct"/>
            <w:vAlign w:val="center"/>
          </w:tcPr>
          <w:p w14:paraId="1B4F6A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大模型已使用循证知识进行预训练</w:t>
            </w:r>
          </w:p>
        </w:tc>
        <w:tc>
          <w:tcPr>
            <w:tcW w:w="598" w:type="pct"/>
            <w:vAlign w:val="center"/>
          </w:tcPr>
          <w:p w14:paraId="743B6999">
            <w:pPr>
              <w:spacing w:line="312" w:lineRule="auto"/>
              <w:jc w:val="left"/>
              <w:rPr>
                <w:rFonts w:hint="eastAsia" w:ascii="宋体" w:hAnsi="宋体" w:cs="楷体"/>
                <w:sz w:val="21"/>
                <w:szCs w:val="21"/>
              </w:rPr>
            </w:pPr>
          </w:p>
        </w:tc>
        <w:tc>
          <w:tcPr>
            <w:tcW w:w="576" w:type="pct"/>
            <w:vAlign w:val="center"/>
          </w:tcPr>
          <w:p w14:paraId="2D13434F">
            <w:pPr>
              <w:spacing w:line="312" w:lineRule="auto"/>
              <w:jc w:val="left"/>
              <w:rPr>
                <w:rFonts w:hint="eastAsia" w:ascii="宋体" w:hAnsi="宋体" w:cs="楷体"/>
                <w:sz w:val="21"/>
                <w:szCs w:val="21"/>
              </w:rPr>
            </w:pPr>
          </w:p>
        </w:tc>
      </w:tr>
      <w:tr w14:paraId="2C81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E0FE474">
            <w:pPr>
              <w:spacing w:line="400" w:lineRule="exact"/>
              <w:rPr>
                <w:rFonts w:hint="eastAsia" w:ascii="宋体" w:hAnsi="宋体" w:cs="宋体"/>
                <w:b/>
                <w:bCs/>
                <w:kern w:val="0"/>
                <w:sz w:val="21"/>
                <w:szCs w:val="21"/>
              </w:rPr>
            </w:pPr>
          </w:p>
        </w:tc>
        <w:tc>
          <w:tcPr>
            <w:tcW w:w="589" w:type="pct"/>
            <w:vAlign w:val="center"/>
          </w:tcPr>
          <w:p w14:paraId="42BC281B">
            <w:pPr>
              <w:spacing w:line="400" w:lineRule="exact"/>
              <w:jc w:val="center"/>
              <w:rPr>
                <w:rFonts w:hint="eastAsia" w:ascii="宋体" w:hAnsi="宋体" w:cs="楷体"/>
                <w:sz w:val="21"/>
                <w:szCs w:val="21"/>
              </w:rPr>
            </w:pPr>
            <w:r>
              <w:rPr>
                <w:rFonts w:hint="eastAsia" w:ascii="宋体" w:hAnsi="宋体" w:cs="楷体"/>
                <w:sz w:val="21"/>
                <w:szCs w:val="21"/>
              </w:rPr>
              <w:t>模型类型</w:t>
            </w:r>
          </w:p>
        </w:tc>
        <w:tc>
          <w:tcPr>
            <w:tcW w:w="2555" w:type="pct"/>
            <w:vAlign w:val="center"/>
          </w:tcPr>
          <w:p w14:paraId="475B78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标准方案为适配DeepSeek 大模型，模型参数按硬件性能适配。</w:t>
            </w:r>
          </w:p>
        </w:tc>
        <w:tc>
          <w:tcPr>
            <w:tcW w:w="598" w:type="pct"/>
            <w:vAlign w:val="center"/>
          </w:tcPr>
          <w:p w14:paraId="6B4587AE">
            <w:pPr>
              <w:spacing w:line="312" w:lineRule="auto"/>
              <w:jc w:val="left"/>
              <w:rPr>
                <w:rFonts w:hint="eastAsia" w:ascii="宋体" w:hAnsi="宋体" w:cs="楷体"/>
                <w:sz w:val="21"/>
                <w:szCs w:val="21"/>
              </w:rPr>
            </w:pPr>
          </w:p>
        </w:tc>
        <w:tc>
          <w:tcPr>
            <w:tcW w:w="576" w:type="pct"/>
            <w:vAlign w:val="center"/>
          </w:tcPr>
          <w:p w14:paraId="380A45A0">
            <w:pPr>
              <w:spacing w:line="312" w:lineRule="auto"/>
              <w:jc w:val="left"/>
              <w:rPr>
                <w:rFonts w:hint="eastAsia" w:ascii="宋体" w:hAnsi="宋体" w:cs="楷体"/>
                <w:sz w:val="21"/>
                <w:szCs w:val="21"/>
              </w:rPr>
            </w:pPr>
          </w:p>
        </w:tc>
      </w:tr>
      <w:tr w14:paraId="1E97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479EEB0">
            <w:pPr>
              <w:spacing w:line="400" w:lineRule="exact"/>
              <w:rPr>
                <w:rFonts w:hint="eastAsia" w:ascii="宋体" w:hAnsi="宋体" w:cs="宋体"/>
                <w:b/>
                <w:bCs/>
                <w:kern w:val="0"/>
                <w:sz w:val="21"/>
                <w:szCs w:val="21"/>
              </w:rPr>
            </w:pPr>
          </w:p>
        </w:tc>
        <w:tc>
          <w:tcPr>
            <w:tcW w:w="589" w:type="pct"/>
            <w:vAlign w:val="center"/>
          </w:tcPr>
          <w:p w14:paraId="24C68CA3">
            <w:pPr>
              <w:spacing w:line="400" w:lineRule="exact"/>
              <w:jc w:val="center"/>
              <w:rPr>
                <w:rFonts w:hint="eastAsia" w:ascii="宋体" w:hAnsi="宋体" w:cs="楷体"/>
                <w:sz w:val="21"/>
                <w:szCs w:val="21"/>
              </w:rPr>
            </w:pPr>
            <w:r>
              <w:rPr>
                <w:rFonts w:hint="eastAsia" w:ascii="宋体" w:hAnsi="宋体" w:cs="楷体"/>
                <w:sz w:val="21"/>
                <w:szCs w:val="21"/>
              </w:rPr>
              <w:t>大模型质控点智能体</w:t>
            </w:r>
          </w:p>
        </w:tc>
        <w:tc>
          <w:tcPr>
            <w:tcW w:w="2555" w:type="pct"/>
            <w:vAlign w:val="center"/>
          </w:tcPr>
          <w:p w14:paraId="700E13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CT/MRI检查结果未记录在病程记录中</w:t>
            </w:r>
          </w:p>
          <w:p w14:paraId="67137C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使用抗菌药物后，未将医嘱内容记录在病程记录中</w:t>
            </w:r>
          </w:p>
          <w:p w14:paraId="719833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开立放射治疗医嘱后，未将医嘱内容记录在病程记录中</w:t>
            </w:r>
          </w:p>
          <w:p w14:paraId="76F851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病理检查的检查结果未记录到病程记录中</w:t>
            </w:r>
          </w:p>
          <w:p w14:paraId="2F4C41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▲术中进行病理检查的患者，未在手术记录中记录病理取材送检情况</w:t>
            </w:r>
          </w:p>
          <w:p w14:paraId="1B709A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▲肿瘤患者使用化疗药物后，未将医嘱内容记录在病程记录中</w:t>
            </w:r>
          </w:p>
          <w:p w14:paraId="49D2E8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▲输注血液制品白蛋白后，未将医嘱内容记录在查房记录中</w:t>
            </w:r>
          </w:p>
          <w:p w14:paraId="3B2C43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▲使用靶向药物后，未将医嘱内容记录在查房记录中</w:t>
            </w:r>
          </w:p>
          <w:p w14:paraId="2C2DB4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使用糖皮质激素类药物后，未将医嘱内容记录在查房记录中</w:t>
            </w:r>
          </w:p>
          <w:p w14:paraId="707E95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完成会诊后，申请医生未及时在病程记录中记录会诊执行情况</w:t>
            </w:r>
          </w:p>
          <w:p w14:paraId="434419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11、</w:t>
            </w:r>
            <w:r>
              <w:rPr>
                <w:rFonts w:hint="eastAsia" w:asciiTheme="minorEastAsia" w:hAnsiTheme="minorEastAsia" w:eastAsiaTheme="minorEastAsia" w:cstheme="minorEastAsia"/>
                <w:sz w:val="21"/>
                <w:szCs w:val="21"/>
              </w:rPr>
              <w:t>有输血记录的患者，上级医生查房记录中缺少对应的输血诊疗计划或记录</w:t>
            </w:r>
          </w:p>
          <w:p w14:paraId="269439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出院记录的出院诊断与最后一次病程记录的诊断列表应保持一致</w:t>
            </w:r>
          </w:p>
          <w:p w14:paraId="1F61FA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w:t>
            </w:r>
            <w:r>
              <w:rPr>
                <w:rFonts w:hint="eastAsia" w:asciiTheme="minorEastAsia" w:hAnsiTheme="minorEastAsia" w:eastAsiaTheme="minorEastAsia" w:cstheme="minorEastAsia"/>
                <w:sz w:val="21"/>
                <w:szCs w:val="21"/>
              </w:rPr>
              <w:t>首次上级医师查房未记录病情分析/诊断/鉴别/治疗措施</w:t>
            </w:r>
          </w:p>
          <w:p w14:paraId="0CCFAB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入院记录体格检查结果与手术史矛盾</w:t>
            </w:r>
          </w:p>
          <w:p w14:paraId="15E086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入院记录主诉和初步诊断关联较少</w:t>
            </w:r>
          </w:p>
          <w:p w14:paraId="61900D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入院记录中主诉和现病史描述关联较少</w:t>
            </w:r>
          </w:p>
          <w:p w14:paraId="6E6204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17、</w:t>
            </w:r>
            <w:r>
              <w:rPr>
                <w:rFonts w:hint="eastAsia" w:asciiTheme="minorEastAsia" w:hAnsiTheme="minorEastAsia" w:eastAsiaTheme="minorEastAsia" w:cstheme="minorEastAsia"/>
                <w:sz w:val="21"/>
                <w:szCs w:val="21"/>
              </w:rPr>
              <w:t>手术记录中手术名称和手术经过不相符</w:t>
            </w:r>
          </w:p>
          <w:p w14:paraId="4145DE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w:t>
            </w:r>
            <w:r>
              <w:rPr>
                <w:rFonts w:hint="eastAsia" w:asciiTheme="minorEastAsia" w:hAnsiTheme="minorEastAsia" w:eastAsiaTheme="minorEastAsia" w:cstheme="minorEastAsia"/>
                <w:sz w:val="21"/>
                <w:szCs w:val="21"/>
              </w:rPr>
              <w:t>▲细菌培养结果需要在病程记录中有对应记录</w:t>
            </w:r>
          </w:p>
          <w:p w14:paraId="308227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19、</w:t>
            </w:r>
            <w:r>
              <w:rPr>
                <w:rFonts w:hint="eastAsia" w:asciiTheme="minorEastAsia" w:hAnsiTheme="minorEastAsia" w:eastAsiaTheme="minorEastAsia" w:cstheme="minorEastAsia"/>
                <w:sz w:val="21"/>
                <w:szCs w:val="21"/>
              </w:rPr>
              <w:t>有创操作记录中无操作过程描述</w:t>
            </w:r>
          </w:p>
          <w:p w14:paraId="0C2BCA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有创操作记录中未记录操作后生命体征</w:t>
            </w:r>
          </w:p>
          <w:p w14:paraId="06F852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21、</w:t>
            </w:r>
            <w:r>
              <w:rPr>
                <w:rFonts w:hint="eastAsia" w:asciiTheme="minorEastAsia" w:hAnsiTheme="minorEastAsia" w:eastAsiaTheme="minorEastAsia" w:cstheme="minorEastAsia"/>
                <w:sz w:val="21"/>
                <w:szCs w:val="21"/>
              </w:rPr>
              <w:t>输血病程记录中，未记录输血前检查具体结果</w:t>
            </w:r>
          </w:p>
          <w:p w14:paraId="7F913B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22、</w:t>
            </w:r>
            <w:r>
              <w:rPr>
                <w:rFonts w:hint="eastAsia" w:asciiTheme="minorEastAsia" w:hAnsiTheme="minorEastAsia" w:eastAsiaTheme="minorEastAsia" w:cstheme="minorEastAsia"/>
                <w:sz w:val="21"/>
                <w:szCs w:val="21"/>
              </w:rPr>
              <w:t>入院记录现病史中描述的“疼痛”症状缺少特征性描述</w:t>
            </w:r>
          </w:p>
          <w:p w14:paraId="01B72B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23、</w:t>
            </w:r>
            <w:r>
              <w:rPr>
                <w:rFonts w:hint="eastAsia" w:asciiTheme="minorEastAsia" w:hAnsiTheme="minorEastAsia" w:eastAsiaTheme="minorEastAsia" w:cstheme="minorEastAsia"/>
                <w:sz w:val="21"/>
                <w:szCs w:val="21"/>
              </w:rPr>
              <w:t>首次主任医师查房记录中关键内容遗漏</w:t>
            </w:r>
          </w:p>
          <w:p w14:paraId="6AFD8E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24、</w:t>
            </w:r>
            <w:r>
              <w:rPr>
                <w:rFonts w:hint="eastAsia" w:asciiTheme="minorEastAsia" w:hAnsiTheme="minorEastAsia" w:eastAsiaTheme="minorEastAsia" w:cstheme="minorEastAsia"/>
                <w:sz w:val="21"/>
                <w:szCs w:val="21"/>
              </w:rPr>
              <w:t>出院记录与手术记录中的手术名称不一致</w:t>
            </w:r>
          </w:p>
          <w:p w14:paraId="1C57D4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25、</w:t>
            </w:r>
            <w:r>
              <w:rPr>
                <w:rFonts w:hint="eastAsia" w:asciiTheme="minorEastAsia" w:hAnsiTheme="minorEastAsia" w:eastAsiaTheme="minorEastAsia" w:cstheme="minorEastAsia"/>
                <w:sz w:val="21"/>
                <w:szCs w:val="21"/>
              </w:rPr>
              <w:t>输血同意书中的诊断与输血无相关性</w:t>
            </w:r>
          </w:p>
          <w:p w14:paraId="7085C5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26、</w:t>
            </w:r>
            <w:r>
              <w:rPr>
                <w:rFonts w:hint="eastAsia" w:asciiTheme="minorEastAsia" w:hAnsiTheme="minorEastAsia" w:eastAsiaTheme="minorEastAsia" w:cstheme="minorEastAsia"/>
                <w:sz w:val="21"/>
                <w:szCs w:val="21"/>
              </w:rPr>
              <w:t>▲入院第一诊断为结直肠恶性肿瘤，辅助检查中未书写结肠镜检查结果</w:t>
            </w:r>
          </w:p>
          <w:p w14:paraId="56FBD6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27、</w:t>
            </w:r>
            <w:r>
              <w:rPr>
                <w:rFonts w:hint="eastAsia" w:asciiTheme="minorEastAsia" w:hAnsiTheme="minorEastAsia" w:eastAsiaTheme="minorEastAsia" w:cstheme="minorEastAsia"/>
                <w:sz w:val="21"/>
                <w:szCs w:val="21"/>
              </w:rPr>
              <w:t>入院第一诊断为直肠恶性肿瘤患者未书写直肠指诊查体结果</w:t>
            </w:r>
          </w:p>
          <w:p w14:paraId="165486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28、</w:t>
            </w:r>
            <w:r>
              <w:rPr>
                <w:rFonts w:hint="eastAsia" w:asciiTheme="minorEastAsia" w:hAnsiTheme="minorEastAsia" w:eastAsiaTheme="minorEastAsia" w:cstheme="minorEastAsia"/>
                <w:sz w:val="21"/>
                <w:szCs w:val="21"/>
              </w:rPr>
              <w:t>化疗患者入院记录未书写病理学诊断类型</w:t>
            </w:r>
          </w:p>
          <w:p w14:paraId="43AAEE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29、</w:t>
            </w:r>
            <w:r>
              <w:rPr>
                <w:rFonts w:hint="eastAsia" w:asciiTheme="minorEastAsia" w:hAnsiTheme="minorEastAsia" w:eastAsiaTheme="minorEastAsia" w:cstheme="minorEastAsia"/>
                <w:sz w:val="21"/>
                <w:szCs w:val="21"/>
              </w:rPr>
              <w:t>术中/术后诊断在病案首页的遗漏</w:t>
            </w:r>
          </w:p>
          <w:p w14:paraId="0F8662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使用抗凝药物后，病程记录中没有对抗凝治疗进行描述</w:t>
            </w:r>
          </w:p>
        </w:tc>
        <w:tc>
          <w:tcPr>
            <w:tcW w:w="598" w:type="pct"/>
            <w:vAlign w:val="center"/>
          </w:tcPr>
          <w:p w14:paraId="76FB44F3">
            <w:pPr>
              <w:pStyle w:val="30"/>
              <w:numPr>
                <w:ilvl w:val="0"/>
                <w:numId w:val="0"/>
              </w:numPr>
              <w:spacing w:line="312" w:lineRule="auto"/>
              <w:ind w:leftChars="0"/>
              <w:jc w:val="left"/>
              <w:rPr>
                <w:rFonts w:hint="eastAsia" w:ascii="宋体" w:hAnsi="宋体" w:eastAsia="宋体" w:cs="楷体"/>
                <w:bCs/>
                <w:sz w:val="21"/>
                <w:szCs w:val="21"/>
              </w:rPr>
            </w:pPr>
          </w:p>
        </w:tc>
        <w:tc>
          <w:tcPr>
            <w:tcW w:w="576" w:type="pct"/>
            <w:vAlign w:val="center"/>
          </w:tcPr>
          <w:p w14:paraId="699EBB0D">
            <w:pPr>
              <w:pStyle w:val="30"/>
              <w:numPr>
                <w:ilvl w:val="0"/>
                <w:numId w:val="0"/>
              </w:numPr>
              <w:spacing w:line="312" w:lineRule="auto"/>
              <w:ind w:leftChars="0"/>
              <w:jc w:val="left"/>
              <w:rPr>
                <w:rFonts w:hint="eastAsia" w:ascii="宋体" w:hAnsi="宋体" w:eastAsia="宋体" w:cs="楷体"/>
                <w:bCs/>
                <w:sz w:val="21"/>
                <w:szCs w:val="21"/>
              </w:rPr>
            </w:pPr>
          </w:p>
        </w:tc>
      </w:tr>
      <w:tr w14:paraId="71A7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679" w:type="pct"/>
            <w:vMerge w:val="continue"/>
            <w:vAlign w:val="center"/>
          </w:tcPr>
          <w:p w14:paraId="39F6680B">
            <w:pPr>
              <w:spacing w:line="400" w:lineRule="exact"/>
              <w:rPr>
                <w:rFonts w:hint="eastAsia" w:ascii="宋体" w:hAnsi="宋体" w:cs="宋体"/>
                <w:b/>
                <w:bCs/>
                <w:kern w:val="0"/>
                <w:sz w:val="21"/>
                <w:szCs w:val="21"/>
              </w:rPr>
            </w:pPr>
          </w:p>
        </w:tc>
        <w:tc>
          <w:tcPr>
            <w:tcW w:w="589" w:type="pct"/>
            <w:vAlign w:val="center"/>
          </w:tcPr>
          <w:p w14:paraId="3D024391">
            <w:pPr>
              <w:spacing w:line="400" w:lineRule="exact"/>
              <w:jc w:val="center"/>
              <w:rPr>
                <w:rFonts w:hint="eastAsia" w:ascii="宋体" w:hAnsi="宋体" w:cs="楷体"/>
                <w:sz w:val="21"/>
                <w:szCs w:val="21"/>
              </w:rPr>
            </w:pPr>
            <w:r>
              <w:rPr>
                <w:rFonts w:hint="eastAsia" w:ascii="宋体" w:hAnsi="宋体" w:cs="楷体"/>
                <w:sz w:val="21"/>
                <w:szCs w:val="21"/>
              </w:rPr>
              <w:t>病历分析智能体</w:t>
            </w:r>
          </w:p>
        </w:tc>
        <w:tc>
          <w:tcPr>
            <w:tcW w:w="2555" w:type="pct"/>
            <w:vAlign w:val="center"/>
          </w:tcPr>
          <w:p w14:paraId="1AE6D5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▲可一键调用大模型对全病历进行扫描，列出病历书写问题汇总和专科问题汇总，并列出所依据的规范文件以及患者真实病历信息的参考来源，参考来源可一键点击查看原始数据。</w:t>
            </w:r>
          </w:p>
        </w:tc>
        <w:tc>
          <w:tcPr>
            <w:tcW w:w="598" w:type="pct"/>
            <w:vAlign w:val="center"/>
          </w:tcPr>
          <w:p w14:paraId="7BE5F5E2">
            <w:pPr>
              <w:spacing w:line="312" w:lineRule="auto"/>
              <w:jc w:val="left"/>
              <w:rPr>
                <w:rFonts w:hint="eastAsia" w:ascii="宋体" w:hAnsi="宋体" w:cs="宋体"/>
                <w:sz w:val="21"/>
                <w:szCs w:val="21"/>
              </w:rPr>
            </w:pPr>
          </w:p>
        </w:tc>
        <w:tc>
          <w:tcPr>
            <w:tcW w:w="576" w:type="pct"/>
            <w:vAlign w:val="center"/>
          </w:tcPr>
          <w:p w14:paraId="2E384A21">
            <w:pPr>
              <w:spacing w:line="312" w:lineRule="auto"/>
              <w:jc w:val="left"/>
              <w:rPr>
                <w:rFonts w:hint="eastAsia" w:ascii="宋体" w:hAnsi="宋体" w:cs="宋体"/>
                <w:sz w:val="21"/>
                <w:szCs w:val="21"/>
              </w:rPr>
            </w:pPr>
          </w:p>
        </w:tc>
      </w:tr>
      <w:tr w14:paraId="6310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679" w:type="pct"/>
            <w:vMerge w:val="continue"/>
            <w:vAlign w:val="center"/>
          </w:tcPr>
          <w:p w14:paraId="50BBF739">
            <w:pPr>
              <w:spacing w:line="400" w:lineRule="exact"/>
              <w:rPr>
                <w:rFonts w:hint="eastAsia" w:ascii="宋体" w:hAnsi="宋体" w:cs="宋体"/>
                <w:b/>
                <w:bCs/>
                <w:kern w:val="0"/>
                <w:sz w:val="21"/>
                <w:szCs w:val="21"/>
              </w:rPr>
            </w:pPr>
          </w:p>
        </w:tc>
        <w:tc>
          <w:tcPr>
            <w:tcW w:w="589" w:type="pct"/>
            <w:vAlign w:val="center"/>
          </w:tcPr>
          <w:p w14:paraId="56081A60">
            <w:pPr>
              <w:spacing w:line="400" w:lineRule="exact"/>
              <w:jc w:val="center"/>
              <w:rPr>
                <w:rFonts w:hint="eastAsia" w:ascii="宋体" w:hAnsi="宋体" w:cs="楷体"/>
                <w:sz w:val="21"/>
                <w:szCs w:val="21"/>
              </w:rPr>
            </w:pPr>
            <w:r>
              <w:rPr>
                <w:rFonts w:hint="eastAsia" w:ascii="宋体" w:hAnsi="宋体" w:cs="楷体"/>
                <w:sz w:val="21"/>
                <w:szCs w:val="21"/>
              </w:rPr>
              <w:t>质控解读智能体</w:t>
            </w:r>
          </w:p>
        </w:tc>
        <w:tc>
          <w:tcPr>
            <w:tcW w:w="2555" w:type="pct"/>
            <w:vAlign w:val="center"/>
          </w:tcPr>
          <w:p w14:paraId="0FE8B8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bookmarkStart w:id="0" w:name="OLE_LINK16"/>
            <w:r>
              <w:rPr>
                <w:rFonts w:hint="eastAsia" w:asciiTheme="minorEastAsia" w:hAnsiTheme="minorEastAsia" w:eastAsiaTheme="minorEastAsia" w:cstheme="minorEastAsia"/>
                <w:sz w:val="21"/>
                <w:szCs w:val="21"/>
              </w:rPr>
              <w:t>▲</w:t>
            </w:r>
            <w:bookmarkEnd w:id="0"/>
            <w:r>
              <w:rPr>
                <w:rFonts w:hint="eastAsia" w:asciiTheme="minorEastAsia" w:hAnsiTheme="minorEastAsia" w:eastAsiaTheme="minorEastAsia" w:cstheme="minorEastAsia"/>
                <w:sz w:val="21"/>
                <w:szCs w:val="21"/>
              </w:rPr>
              <w:t>与病历质控系统的医生端质控融合，当提醒文书缺陷时，可一键调用大模型针对该质控点调用大模型进行质控点解读。</w:t>
            </w:r>
          </w:p>
        </w:tc>
        <w:tc>
          <w:tcPr>
            <w:tcW w:w="598" w:type="pct"/>
            <w:vAlign w:val="center"/>
          </w:tcPr>
          <w:p w14:paraId="4F82929E">
            <w:pPr>
              <w:spacing w:line="312" w:lineRule="auto"/>
              <w:jc w:val="left"/>
              <w:rPr>
                <w:rFonts w:hint="eastAsia" w:ascii="宋体" w:hAnsi="宋体" w:cs="宋体"/>
                <w:sz w:val="21"/>
                <w:szCs w:val="21"/>
              </w:rPr>
            </w:pPr>
          </w:p>
        </w:tc>
        <w:tc>
          <w:tcPr>
            <w:tcW w:w="576" w:type="pct"/>
            <w:vAlign w:val="center"/>
          </w:tcPr>
          <w:p w14:paraId="4E261F24">
            <w:pPr>
              <w:spacing w:line="312" w:lineRule="auto"/>
              <w:jc w:val="left"/>
              <w:rPr>
                <w:rFonts w:hint="eastAsia" w:ascii="宋体" w:hAnsi="宋体" w:cs="宋体"/>
                <w:sz w:val="21"/>
                <w:szCs w:val="21"/>
              </w:rPr>
            </w:pPr>
          </w:p>
        </w:tc>
      </w:tr>
      <w:tr w14:paraId="06F8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679" w:type="pct"/>
            <w:vMerge w:val="continue"/>
            <w:vAlign w:val="center"/>
          </w:tcPr>
          <w:p w14:paraId="09CD9B59">
            <w:pPr>
              <w:spacing w:line="400" w:lineRule="exact"/>
              <w:rPr>
                <w:rFonts w:hint="eastAsia" w:ascii="宋体" w:hAnsi="宋体" w:cs="宋体"/>
                <w:b/>
                <w:bCs/>
                <w:kern w:val="0"/>
                <w:sz w:val="21"/>
                <w:szCs w:val="21"/>
              </w:rPr>
            </w:pPr>
          </w:p>
        </w:tc>
        <w:tc>
          <w:tcPr>
            <w:tcW w:w="589" w:type="pct"/>
            <w:vAlign w:val="center"/>
          </w:tcPr>
          <w:p w14:paraId="2FCD579C">
            <w:pPr>
              <w:spacing w:line="400" w:lineRule="exact"/>
              <w:jc w:val="center"/>
              <w:rPr>
                <w:rFonts w:hint="eastAsia" w:ascii="宋体" w:hAnsi="宋体" w:cs="楷体"/>
                <w:sz w:val="21"/>
                <w:szCs w:val="21"/>
              </w:rPr>
            </w:pPr>
            <w:r>
              <w:rPr>
                <w:rFonts w:hint="eastAsia" w:ascii="宋体" w:hAnsi="宋体" w:cs="楷体"/>
                <w:sz w:val="21"/>
                <w:szCs w:val="21"/>
              </w:rPr>
              <w:t>大模型问答智能体</w:t>
            </w:r>
          </w:p>
        </w:tc>
        <w:tc>
          <w:tcPr>
            <w:tcW w:w="2555" w:type="pct"/>
            <w:vAlign w:val="center"/>
          </w:tcPr>
          <w:p w14:paraId="73A6D0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▲对于系统发现的质控缺陷，可进入对话模式，向大模型自由提问。</w:t>
            </w:r>
          </w:p>
        </w:tc>
        <w:tc>
          <w:tcPr>
            <w:tcW w:w="598" w:type="pct"/>
            <w:vAlign w:val="center"/>
          </w:tcPr>
          <w:p w14:paraId="20B9CA3F">
            <w:pPr>
              <w:spacing w:line="312" w:lineRule="auto"/>
              <w:jc w:val="left"/>
              <w:rPr>
                <w:rFonts w:hint="eastAsia" w:ascii="宋体" w:hAnsi="宋体" w:cs="宋体"/>
                <w:sz w:val="21"/>
                <w:szCs w:val="21"/>
              </w:rPr>
            </w:pPr>
          </w:p>
        </w:tc>
        <w:tc>
          <w:tcPr>
            <w:tcW w:w="576" w:type="pct"/>
            <w:vAlign w:val="center"/>
          </w:tcPr>
          <w:p w14:paraId="61A65B25">
            <w:pPr>
              <w:spacing w:line="312" w:lineRule="auto"/>
              <w:jc w:val="left"/>
              <w:rPr>
                <w:rFonts w:hint="eastAsia" w:ascii="宋体" w:hAnsi="宋体" w:cs="宋体"/>
                <w:sz w:val="21"/>
                <w:szCs w:val="21"/>
              </w:rPr>
            </w:pPr>
          </w:p>
        </w:tc>
      </w:tr>
      <w:tr w14:paraId="4FBF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679" w:type="pct"/>
            <w:vMerge w:val="continue"/>
            <w:vAlign w:val="center"/>
          </w:tcPr>
          <w:p w14:paraId="6469AC79">
            <w:pPr>
              <w:spacing w:line="400" w:lineRule="exact"/>
              <w:rPr>
                <w:rFonts w:hint="eastAsia" w:ascii="宋体" w:hAnsi="宋体" w:cs="宋体"/>
                <w:b/>
                <w:bCs/>
                <w:kern w:val="0"/>
                <w:sz w:val="21"/>
                <w:szCs w:val="21"/>
              </w:rPr>
            </w:pPr>
          </w:p>
        </w:tc>
        <w:tc>
          <w:tcPr>
            <w:tcW w:w="589" w:type="pct"/>
            <w:vAlign w:val="center"/>
          </w:tcPr>
          <w:p w14:paraId="450A82A9">
            <w:pPr>
              <w:spacing w:line="400" w:lineRule="exact"/>
              <w:jc w:val="center"/>
              <w:rPr>
                <w:rFonts w:hint="eastAsia" w:ascii="宋体" w:hAnsi="宋体" w:cs="楷体"/>
                <w:sz w:val="21"/>
                <w:szCs w:val="21"/>
              </w:rPr>
            </w:pPr>
            <w:r>
              <w:rPr>
                <w:rFonts w:hint="eastAsia" w:ascii="宋体" w:hAnsi="宋体" w:cs="楷体"/>
                <w:sz w:val="21"/>
                <w:szCs w:val="21"/>
              </w:rPr>
              <w:t>质控点管理</w:t>
            </w:r>
          </w:p>
        </w:tc>
        <w:tc>
          <w:tcPr>
            <w:tcW w:w="2555" w:type="pct"/>
            <w:vAlign w:val="center"/>
          </w:tcPr>
          <w:p w14:paraId="3F436C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与非大模型质控点一体化管理，共用同一套管理平台，包括对对质控点进行开关操作、提醒级别设定、自定义质控点标签。</w:t>
            </w:r>
          </w:p>
        </w:tc>
        <w:tc>
          <w:tcPr>
            <w:tcW w:w="598" w:type="pct"/>
            <w:vAlign w:val="center"/>
          </w:tcPr>
          <w:p w14:paraId="19DCC1B2">
            <w:pPr>
              <w:spacing w:line="312" w:lineRule="auto"/>
              <w:jc w:val="left"/>
              <w:rPr>
                <w:rFonts w:hint="eastAsia" w:ascii="宋体" w:hAnsi="宋体" w:cs="楷体"/>
                <w:sz w:val="21"/>
                <w:szCs w:val="21"/>
              </w:rPr>
            </w:pPr>
          </w:p>
        </w:tc>
        <w:tc>
          <w:tcPr>
            <w:tcW w:w="576" w:type="pct"/>
            <w:vAlign w:val="center"/>
          </w:tcPr>
          <w:p w14:paraId="3D81F5DE">
            <w:pPr>
              <w:spacing w:line="312" w:lineRule="auto"/>
              <w:jc w:val="left"/>
              <w:rPr>
                <w:rFonts w:hint="eastAsia" w:ascii="宋体" w:hAnsi="宋体" w:cs="楷体"/>
                <w:sz w:val="21"/>
                <w:szCs w:val="21"/>
              </w:rPr>
            </w:pPr>
          </w:p>
        </w:tc>
      </w:tr>
      <w:tr w14:paraId="62A6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679" w:type="pct"/>
            <w:vMerge w:val="continue"/>
            <w:vAlign w:val="center"/>
          </w:tcPr>
          <w:p w14:paraId="08565FFD">
            <w:pPr>
              <w:spacing w:line="400" w:lineRule="exact"/>
              <w:rPr>
                <w:rFonts w:hint="eastAsia" w:ascii="宋体" w:hAnsi="宋体" w:cs="宋体"/>
                <w:b/>
                <w:bCs/>
                <w:kern w:val="0"/>
                <w:sz w:val="21"/>
                <w:szCs w:val="21"/>
              </w:rPr>
            </w:pPr>
          </w:p>
        </w:tc>
        <w:tc>
          <w:tcPr>
            <w:tcW w:w="589" w:type="pct"/>
            <w:vAlign w:val="center"/>
          </w:tcPr>
          <w:p w14:paraId="74AD2CBF">
            <w:pPr>
              <w:spacing w:line="400" w:lineRule="exact"/>
              <w:jc w:val="center"/>
              <w:rPr>
                <w:rFonts w:hint="eastAsia" w:ascii="宋体" w:hAnsi="宋体" w:cs="楷体"/>
                <w:sz w:val="21"/>
                <w:szCs w:val="21"/>
              </w:rPr>
            </w:pPr>
            <w:r>
              <w:rPr>
                <w:rFonts w:hint="eastAsia" w:ascii="宋体" w:hAnsi="宋体" w:cs="楷体"/>
                <w:sz w:val="21"/>
                <w:szCs w:val="21"/>
              </w:rPr>
              <w:t>统计分析平台</w:t>
            </w:r>
          </w:p>
        </w:tc>
        <w:tc>
          <w:tcPr>
            <w:tcW w:w="2555" w:type="pct"/>
            <w:vAlign w:val="center"/>
          </w:tcPr>
          <w:p w14:paraId="329A92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▲与非大模型质控点使用同一套病历统计分析平台进行各类指标统计。</w:t>
            </w:r>
          </w:p>
        </w:tc>
        <w:tc>
          <w:tcPr>
            <w:tcW w:w="598" w:type="pct"/>
            <w:vAlign w:val="center"/>
          </w:tcPr>
          <w:p w14:paraId="5DAF6A95">
            <w:pPr>
              <w:spacing w:line="312" w:lineRule="auto"/>
              <w:jc w:val="left"/>
              <w:rPr>
                <w:rFonts w:hint="eastAsia" w:ascii="宋体" w:hAnsi="宋体" w:cs="宋体"/>
                <w:sz w:val="21"/>
                <w:szCs w:val="21"/>
              </w:rPr>
            </w:pPr>
          </w:p>
        </w:tc>
        <w:tc>
          <w:tcPr>
            <w:tcW w:w="576" w:type="pct"/>
            <w:vAlign w:val="center"/>
          </w:tcPr>
          <w:p w14:paraId="6327A068">
            <w:pPr>
              <w:spacing w:line="312" w:lineRule="auto"/>
              <w:jc w:val="left"/>
              <w:rPr>
                <w:rFonts w:hint="eastAsia" w:ascii="宋体" w:hAnsi="宋体" w:cs="宋体"/>
                <w:sz w:val="21"/>
                <w:szCs w:val="21"/>
              </w:rPr>
            </w:pPr>
          </w:p>
        </w:tc>
      </w:tr>
      <w:tr w14:paraId="2F4C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79" w:type="pct"/>
            <w:vMerge w:val="restart"/>
            <w:vAlign w:val="center"/>
          </w:tcPr>
          <w:p w14:paraId="54E193C3">
            <w:pPr>
              <w:spacing w:line="400" w:lineRule="exact"/>
              <w:jc w:val="left"/>
              <w:rPr>
                <w:rFonts w:hint="eastAsia" w:ascii="宋体" w:hAnsi="宋体" w:cs="宋体"/>
                <w:kern w:val="0"/>
                <w:sz w:val="21"/>
                <w:szCs w:val="21"/>
              </w:rPr>
            </w:pPr>
            <w:r>
              <w:rPr>
                <w:rFonts w:hint="eastAsia" w:cs="宋体" w:asciiTheme="minorEastAsia" w:hAnsiTheme="minorEastAsia" w:eastAsiaTheme="minorEastAsia"/>
                <w:b/>
                <w:bCs/>
                <w:sz w:val="21"/>
                <w:szCs w:val="21"/>
                <w:lang w:val="en-US" w:eastAsia="zh-CN"/>
              </w:rPr>
              <w:t>16.</w:t>
            </w:r>
            <w:r>
              <w:rPr>
                <w:rFonts w:hint="eastAsia" w:cs="宋体" w:asciiTheme="minorEastAsia" w:hAnsiTheme="minorEastAsia" w:eastAsiaTheme="minorEastAsia"/>
                <w:b/>
                <w:bCs/>
                <w:sz w:val="21"/>
                <w:szCs w:val="21"/>
              </w:rPr>
              <w:t>病历辅助生成</w:t>
            </w:r>
          </w:p>
        </w:tc>
        <w:tc>
          <w:tcPr>
            <w:tcW w:w="589" w:type="pct"/>
            <w:vAlign w:val="center"/>
          </w:tcPr>
          <w:p w14:paraId="6CEE83F1">
            <w:pPr>
              <w:spacing w:line="400" w:lineRule="exact"/>
              <w:jc w:val="center"/>
              <w:rPr>
                <w:rFonts w:hint="eastAsia" w:ascii="宋体" w:hAnsi="宋体" w:cs="宋体"/>
                <w:kern w:val="0"/>
                <w:sz w:val="21"/>
                <w:szCs w:val="21"/>
              </w:rPr>
            </w:pPr>
            <w:r>
              <w:rPr>
                <w:rFonts w:hint="eastAsia" w:cs="宋体" w:asciiTheme="minorEastAsia" w:hAnsiTheme="minorEastAsia" w:eastAsiaTheme="minorEastAsia"/>
                <w:color w:val="000000" w:themeColor="text1"/>
                <w:sz w:val="21"/>
                <w:szCs w:val="21"/>
                <w14:textFill>
                  <w14:solidFill>
                    <w14:schemeClr w14:val="tx1"/>
                  </w14:solidFill>
                </w14:textFill>
              </w:rPr>
              <w:t>一键生成</w:t>
            </w:r>
            <w:r>
              <w:rPr>
                <w:rFonts w:hint="eastAsia" w:ascii="宋体" w:hAnsi="宋体" w:cs="楷体"/>
                <w:sz w:val="21"/>
                <w:szCs w:val="21"/>
              </w:rPr>
              <w:t>智能体</w:t>
            </w:r>
          </w:p>
        </w:tc>
        <w:tc>
          <w:tcPr>
            <w:tcW w:w="2555" w:type="pct"/>
            <w:vAlign w:val="center"/>
          </w:tcPr>
          <w:p w14:paraId="1548A8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医生选择所需生成的文本对应智能体，无需输入病历信息，智能体可自动抓取患者病历生成目标文档。</w:t>
            </w:r>
          </w:p>
        </w:tc>
        <w:tc>
          <w:tcPr>
            <w:tcW w:w="598" w:type="pct"/>
            <w:vAlign w:val="center"/>
          </w:tcPr>
          <w:p w14:paraId="6C36CBF4">
            <w:pPr>
              <w:numPr>
                <w:ilvl w:val="0"/>
                <w:numId w:val="0"/>
              </w:numPr>
              <w:spacing w:line="400" w:lineRule="exact"/>
              <w:ind w:leftChars="0"/>
              <w:rPr>
                <w:rFonts w:cs="宋体" w:asciiTheme="minorEastAsia" w:hAnsiTheme="minorEastAsia" w:eastAsiaTheme="minorEastAsia"/>
                <w:color w:val="000000" w:themeColor="text1"/>
                <w:sz w:val="21"/>
                <w:szCs w:val="21"/>
                <w14:textFill>
                  <w14:solidFill>
                    <w14:schemeClr w14:val="tx1"/>
                  </w14:solidFill>
                </w14:textFill>
              </w:rPr>
            </w:pPr>
          </w:p>
        </w:tc>
        <w:tc>
          <w:tcPr>
            <w:tcW w:w="576" w:type="pct"/>
            <w:vAlign w:val="center"/>
          </w:tcPr>
          <w:p w14:paraId="52C1FF50">
            <w:pPr>
              <w:numPr>
                <w:ilvl w:val="0"/>
                <w:numId w:val="0"/>
              </w:numPr>
              <w:spacing w:line="400" w:lineRule="exact"/>
              <w:ind w:leftChars="0"/>
              <w:rPr>
                <w:rFonts w:cs="宋体" w:asciiTheme="minorEastAsia" w:hAnsiTheme="minorEastAsia" w:eastAsiaTheme="minorEastAsia"/>
                <w:color w:val="000000" w:themeColor="text1"/>
                <w:sz w:val="21"/>
                <w:szCs w:val="21"/>
                <w14:textFill>
                  <w14:solidFill>
                    <w14:schemeClr w14:val="tx1"/>
                  </w14:solidFill>
                </w14:textFill>
              </w:rPr>
            </w:pPr>
          </w:p>
        </w:tc>
      </w:tr>
      <w:tr w14:paraId="7F0E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23EF56C">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1459DD92">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智能生成首程病程记录</w:t>
            </w:r>
            <w:r>
              <w:rPr>
                <w:rFonts w:hint="eastAsia" w:ascii="宋体" w:hAnsi="宋体" w:cs="楷体"/>
                <w:sz w:val="21"/>
                <w:szCs w:val="21"/>
              </w:rPr>
              <w:t>智能体</w:t>
            </w:r>
          </w:p>
        </w:tc>
        <w:tc>
          <w:tcPr>
            <w:tcW w:w="2555" w:type="pct"/>
          </w:tcPr>
          <w:p w14:paraId="5695D9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首程病程记录，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166A42E9">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64C01BB9">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0ADE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9390577">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1B938DDC">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06B5EC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7EFEA2F3">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074AA251">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6446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AEB26C1">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2A3AC15C">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2B18BB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3CEBAD6D">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54A7BB69">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2A22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FE3042E">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63242EA7">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智能生成日常病程记录</w:t>
            </w:r>
            <w:r>
              <w:rPr>
                <w:rFonts w:hint="eastAsia" w:ascii="宋体" w:hAnsi="宋体" w:cs="楷体"/>
                <w:sz w:val="21"/>
                <w:szCs w:val="21"/>
              </w:rPr>
              <w:t>智能体</w:t>
            </w:r>
          </w:p>
        </w:tc>
        <w:tc>
          <w:tcPr>
            <w:tcW w:w="2555" w:type="pct"/>
          </w:tcPr>
          <w:p w14:paraId="7E1EA3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日常病程记录，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52A9BCC3">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04FB0E91">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7322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54A2F3E3">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0A7335DE">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00E636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6A231B5D">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22166867">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5D41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328C78FE">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520A66D6">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741813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4CB253D6">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6CD237FA">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6E67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52CDA404">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3619FF33">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智能生成主治医师查房记录</w:t>
            </w:r>
            <w:r>
              <w:rPr>
                <w:rFonts w:hint="eastAsia" w:ascii="宋体" w:hAnsi="宋体" w:cs="楷体"/>
                <w:sz w:val="21"/>
                <w:szCs w:val="21"/>
              </w:rPr>
              <w:t>智能体</w:t>
            </w:r>
          </w:p>
        </w:tc>
        <w:tc>
          <w:tcPr>
            <w:tcW w:w="2555" w:type="pct"/>
          </w:tcPr>
          <w:p w14:paraId="1E6027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主治医师查房记录，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51D068C2">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437FEAC6">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171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4172B06D">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67E728F3">
            <w:pPr>
              <w:spacing w:line="400" w:lineRule="exact"/>
              <w:jc w:val="left"/>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2A1AEC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6B90DBDB">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18105154">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2DAE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7601AD5">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5CF22130">
            <w:pPr>
              <w:spacing w:line="400" w:lineRule="exact"/>
              <w:jc w:val="left"/>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4FF017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43AFE1D6">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7999FC0A">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4F6A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8D8659C">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40BED616">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智能生成主任医师查房记录</w:t>
            </w:r>
            <w:r>
              <w:rPr>
                <w:rFonts w:hint="eastAsia" w:ascii="宋体" w:hAnsi="宋体" w:cs="楷体"/>
                <w:sz w:val="21"/>
                <w:szCs w:val="21"/>
              </w:rPr>
              <w:t>智能体</w:t>
            </w:r>
          </w:p>
        </w:tc>
        <w:tc>
          <w:tcPr>
            <w:tcW w:w="2555" w:type="pct"/>
          </w:tcPr>
          <w:p w14:paraId="7427CE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主任医师查房记录，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4B3F3D75">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52ADF247">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201F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572E94D6">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3110BFEB">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6A9F5C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2448046E">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0EABBCCF">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6403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1FEF7146">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3FD947CC">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0DA42D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2AAA44C3">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6ABC8AF7">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56E2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0F20349">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0F74F0A6">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智能生成术前小结</w:t>
            </w:r>
            <w:r>
              <w:rPr>
                <w:rFonts w:hint="eastAsia" w:ascii="宋体" w:hAnsi="宋体" w:cs="楷体"/>
                <w:sz w:val="21"/>
                <w:szCs w:val="21"/>
              </w:rPr>
              <w:t>智能体</w:t>
            </w:r>
          </w:p>
        </w:tc>
        <w:tc>
          <w:tcPr>
            <w:tcW w:w="2555" w:type="pct"/>
          </w:tcPr>
          <w:p w14:paraId="1440BD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术前小结，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62DC7621">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1EDFC4C1">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4C6B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6C4EAF6">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7B76D560">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18E4C7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4255042B">
            <w:pPr>
              <w:numPr>
                <w:ilvl w:val="0"/>
                <w:numId w:val="0"/>
              </w:numPr>
              <w:spacing w:line="400" w:lineRule="exact"/>
              <w:ind w:left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70CAB124">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7ADA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37D5B7E7">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1CFCE7D2">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2D5621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26B0586D">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6D36C6B3">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6B2D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6DA9569F">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146CF1D3">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智能生成术前讨论</w:t>
            </w:r>
            <w:r>
              <w:rPr>
                <w:rFonts w:hint="eastAsia" w:ascii="宋体" w:hAnsi="宋体" w:cs="楷体"/>
                <w:sz w:val="21"/>
                <w:szCs w:val="21"/>
              </w:rPr>
              <w:t>智能体</w:t>
            </w:r>
          </w:p>
        </w:tc>
        <w:tc>
          <w:tcPr>
            <w:tcW w:w="2555" w:type="pct"/>
          </w:tcPr>
          <w:p w14:paraId="3285DA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术前讨论，一键生成目标文书（支持生成指定日期目标文书）生成的文书自动引用相关的检查检验结果、医嘱信息、病理报告及查房记录等信息，自动进行分析。引用的信息提供明确出处，可一键点击查看。</w:t>
            </w:r>
          </w:p>
        </w:tc>
        <w:tc>
          <w:tcPr>
            <w:tcW w:w="598" w:type="pct"/>
          </w:tcPr>
          <w:p w14:paraId="602C0123">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rPr>
            </w:pPr>
          </w:p>
        </w:tc>
        <w:tc>
          <w:tcPr>
            <w:tcW w:w="576" w:type="pct"/>
          </w:tcPr>
          <w:p w14:paraId="42AEED2D">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rPr>
            </w:pPr>
          </w:p>
        </w:tc>
      </w:tr>
      <w:tr w14:paraId="266E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2663253C">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44983621">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1E6166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722C4487">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71C62C46">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5191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93897C4">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0B2342F3">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62CC2A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33BF92EA">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537CC75E">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2319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4376A51B">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39A8E21D">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智能生成出院记录</w:t>
            </w:r>
            <w:r>
              <w:rPr>
                <w:rFonts w:hint="eastAsia" w:ascii="宋体" w:hAnsi="宋体" w:cs="楷体"/>
                <w:sz w:val="21"/>
                <w:szCs w:val="21"/>
              </w:rPr>
              <w:t>智能体</w:t>
            </w:r>
          </w:p>
        </w:tc>
        <w:tc>
          <w:tcPr>
            <w:tcW w:w="2555" w:type="pct"/>
          </w:tcPr>
          <w:p w14:paraId="1EF73C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▲智能生成出院记录，一键生成目标文书</w:t>
            </w:r>
            <w:bookmarkStart w:id="1" w:name="OLE_LINK7"/>
            <w:r>
              <w:rPr>
                <w:rFonts w:hint="eastAsia" w:asciiTheme="minorEastAsia" w:hAnsiTheme="minorEastAsia" w:eastAsiaTheme="minorEastAsia" w:cstheme="minorEastAsia"/>
                <w:sz w:val="21"/>
                <w:szCs w:val="21"/>
              </w:rPr>
              <w:t>（支持生成指定日期目标文书）生成的文书自动引用相关的检查检验结果、医嘱信息、病理报告及查房记录等信息，自动进行分析。引用的信息提供明确出处，可一键点击查看。</w:t>
            </w:r>
            <w:bookmarkEnd w:id="1"/>
          </w:p>
        </w:tc>
        <w:tc>
          <w:tcPr>
            <w:tcW w:w="598" w:type="pct"/>
          </w:tcPr>
          <w:p w14:paraId="2F4A2473">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7CEA5500">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79A0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6F9129E3">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2F00E878">
            <w:pPr>
              <w:spacing w:line="400" w:lineRule="exact"/>
              <w:jc w:val="left"/>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50E318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可通过快捷编辑按钮修改文书生成要求，文书生成过程中可提前中止，可对生成内容进行反馈。</w:t>
            </w:r>
          </w:p>
        </w:tc>
        <w:tc>
          <w:tcPr>
            <w:tcW w:w="598" w:type="pct"/>
          </w:tcPr>
          <w:p w14:paraId="5859C45C">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1CACB4D6">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030F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9" w:type="pct"/>
            <w:vMerge w:val="continue"/>
            <w:vAlign w:val="center"/>
          </w:tcPr>
          <w:p w14:paraId="7FB90ED0">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797A511F">
            <w:pPr>
              <w:spacing w:line="400" w:lineRule="exact"/>
              <w:jc w:val="left"/>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2555" w:type="pct"/>
          </w:tcPr>
          <w:p w14:paraId="648713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生成文书内容支持一键复制</w:t>
            </w:r>
          </w:p>
        </w:tc>
        <w:tc>
          <w:tcPr>
            <w:tcW w:w="598" w:type="pct"/>
          </w:tcPr>
          <w:p w14:paraId="0FC97C0F">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c>
          <w:tcPr>
            <w:tcW w:w="576" w:type="pct"/>
          </w:tcPr>
          <w:p w14:paraId="3CA6CFC1">
            <w:pPr>
              <w:numPr>
                <w:ilvl w:val="0"/>
                <w:numId w:val="0"/>
              </w:numPr>
              <w:spacing w:line="400" w:lineRule="exact"/>
              <w:ind w:left="425" w:leftChars="0" w:hanging="425" w:firstLineChars="0"/>
              <w:rPr>
                <w:rFonts w:hint="eastAsia" w:cs="宋体" w:asciiTheme="minorEastAsia" w:hAnsiTheme="minorEastAsia" w:eastAsiaTheme="minorEastAsia"/>
                <w:color w:val="000000" w:themeColor="text1"/>
                <w:sz w:val="21"/>
                <w:szCs w:val="21"/>
                <w14:textFill>
                  <w14:solidFill>
                    <w14:schemeClr w14:val="tx1"/>
                  </w14:solidFill>
                </w14:textFill>
              </w:rPr>
            </w:pPr>
          </w:p>
        </w:tc>
      </w:tr>
      <w:tr w14:paraId="4563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3536CAA1">
            <w:pPr>
              <w:spacing w:line="400" w:lineRule="exact"/>
              <w:jc w:val="left"/>
              <w:rPr>
                <w:rFonts w:hint="eastAsia" w:cs="宋体" w:asciiTheme="minorEastAsia" w:hAnsiTheme="minorEastAsia" w:eastAsiaTheme="minorEastAsia"/>
                <w:sz w:val="21"/>
                <w:szCs w:val="21"/>
              </w:rPr>
            </w:pPr>
          </w:p>
        </w:tc>
        <w:tc>
          <w:tcPr>
            <w:tcW w:w="589" w:type="pct"/>
            <w:vAlign w:val="center"/>
          </w:tcPr>
          <w:p w14:paraId="12084567">
            <w:pPr>
              <w:spacing w:line="400" w:lineRule="exact"/>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sz w:val="21"/>
                <w:szCs w:val="21"/>
                <w:lang w:eastAsia="zh-Hans"/>
              </w:rPr>
              <w:t>智能鉴别诊断生成</w:t>
            </w:r>
            <w:r>
              <w:rPr>
                <w:rFonts w:hint="eastAsia" w:ascii="宋体" w:hAnsi="宋体" w:cs="楷体"/>
                <w:sz w:val="21"/>
                <w:szCs w:val="21"/>
              </w:rPr>
              <w:t>智能体</w:t>
            </w:r>
          </w:p>
        </w:tc>
        <w:tc>
          <w:tcPr>
            <w:tcW w:w="2555" w:type="pct"/>
            <w:vAlign w:val="center"/>
          </w:tcPr>
          <w:p w14:paraId="625B3B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大模型基于患者的主诉、现病史、辅助检查、医嘱及其他病史内容推荐疑似疾病。支持基于大模型展示鉴别诊断分析过程。对于危重症，提供疑似诊断时进行危重标识显示</w:t>
            </w:r>
            <w:r>
              <w:rPr>
                <w:rFonts w:hint="eastAsia" w:asciiTheme="minorEastAsia" w:hAnsiTheme="minorEastAsia" w:eastAsiaTheme="minorEastAsia" w:cstheme="minorEastAsia"/>
                <w:sz w:val="21"/>
                <w:szCs w:val="21"/>
                <w:lang w:eastAsia="zh-CN"/>
              </w:rPr>
              <w:t>。</w:t>
            </w:r>
          </w:p>
        </w:tc>
        <w:tc>
          <w:tcPr>
            <w:tcW w:w="598" w:type="pct"/>
            <w:vAlign w:val="center"/>
          </w:tcPr>
          <w:p w14:paraId="00E15143">
            <w:pPr>
              <w:numPr>
                <w:ilvl w:val="0"/>
                <w:numId w:val="0"/>
              </w:numPr>
              <w:spacing w:line="400" w:lineRule="exact"/>
              <w:ind w:left="425" w:leftChars="0" w:hanging="425" w:firstLineChars="0"/>
              <w:rPr>
                <w:rFonts w:hint="eastAsia" w:cs="宋体" w:asciiTheme="minorEastAsia" w:hAnsiTheme="minorEastAsia" w:eastAsiaTheme="minorEastAsia"/>
                <w:spacing w:val="2"/>
                <w:sz w:val="21"/>
                <w:szCs w:val="21"/>
              </w:rPr>
            </w:pPr>
          </w:p>
        </w:tc>
        <w:tc>
          <w:tcPr>
            <w:tcW w:w="576" w:type="pct"/>
            <w:vAlign w:val="center"/>
          </w:tcPr>
          <w:p w14:paraId="0AAFD893">
            <w:pPr>
              <w:numPr>
                <w:ilvl w:val="0"/>
                <w:numId w:val="0"/>
              </w:numPr>
              <w:spacing w:line="400" w:lineRule="exact"/>
              <w:ind w:left="425" w:leftChars="0" w:hanging="425" w:firstLineChars="0"/>
              <w:rPr>
                <w:rFonts w:hint="eastAsia" w:cs="宋体" w:asciiTheme="minorEastAsia" w:hAnsiTheme="minorEastAsia" w:eastAsiaTheme="minorEastAsia"/>
                <w:spacing w:val="2"/>
                <w:sz w:val="21"/>
                <w:szCs w:val="21"/>
              </w:rPr>
            </w:pPr>
          </w:p>
        </w:tc>
      </w:tr>
      <w:tr w14:paraId="57A3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795D071E">
            <w:pPr>
              <w:spacing w:line="400" w:lineRule="exact"/>
              <w:jc w:val="left"/>
              <w:rPr>
                <w:rFonts w:hint="eastAsia" w:cs="宋体" w:asciiTheme="minorEastAsia" w:hAnsiTheme="minorEastAsia" w:eastAsiaTheme="minorEastAsia"/>
                <w:sz w:val="21"/>
                <w:szCs w:val="21"/>
              </w:rPr>
            </w:pPr>
          </w:p>
        </w:tc>
        <w:tc>
          <w:tcPr>
            <w:tcW w:w="589" w:type="pct"/>
            <w:vAlign w:val="center"/>
          </w:tcPr>
          <w:p w14:paraId="00E6F739">
            <w:pPr>
              <w:spacing w:line="400" w:lineRule="exact"/>
              <w:jc w:val="center"/>
              <w:rPr>
                <w:rFonts w:hint="eastAsia" w:cs="宋体" w:asciiTheme="minorEastAsia" w:hAnsiTheme="minorEastAsia" w:eastAsiaTheme="minorEastAsia"/>
                <w:sz w:val="21"/>
                <w:szCs w:val="21"/>
                <w:lang w:eastAsia="zh-Hans"/>
              </w:rPr>
            </w:pPr>
            <w:r>
              <w:rPr>
                <w:rFonts w:hint="eastAsia" w:cs="宋体" w:asciiTheme="minorEastAsia" w:hAnsiTheme="minorEastAsia" w:eastAsiaTheme="minorEastAsia"/>
                <w:sz w:val="21"/>
                <w:szCs w:val="21"/>
                <w:lang w:eastAsia="zh-Hans"/>
              </w:rPr>
              <w:t>模拟</w:t>
            </w:r>
            <w:r>
              <w:rPr>
                <w:rFonts w:hint="eastAsia" w:cs="宋体" w:asciiTheme="minorEastAsia" w:hAnsiTheme="minorEastAsia" w:eastAsiaTheme="minorEastAsia"/>
                <w:sz w:val="21"/>
                <w:szCs w:val="21"/>
              </w:rPr>
              <w:t>MDT讨论生成</w:t>
            </w:r>
            <w:r>
              <w:rPr>
                <w:rFonts w:hint="eastAsia" w:ascii="宋体" w:hAnsi="宋体" w:cs="楷体"/>
                <w:sz w:val="21"/>
                <w:szCs w:val="21"/>
              </w:rPr>
              <w:t>智能体</w:t>
            </w:r>
          </w:p>
        </w:tc>
        <w:tc>
          <w:tcPr>
            <w:tcW w:w="2555" w:type="pct"/>
            <w:vAlign w:val="center"/>
          </w:tcPr>
          <w:p w14:paraId="37A6F9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▲可一键调用患者全部病历、检验检查结果、医嘱等信息，基于患者病情通过大模型自动生成多学科讨论记录。各学科专家提供的建议有明确的指南依据。</w:t>
            </w:r>
          </w:p>
        </w:tc>
        <w:tc>
          <w:tcPr>
            <w:tcW w:w="598" w:type="pct"/>
            <w:vAlign w:val="center"/>
          </w:tcPr>
          <w:p w14:paraId="36899B91">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rPr>
            </w:pPr>
          </w:p>
        </w:tc>
        <w:tc>
          <w:tcPr>
            <w:tcW w:w="576" w:type="pct"/>
            <w:vAlign w:val="center"/>
          </w:tcPr>
          <w:p w14:paraId="71F27F32">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rPr>
            </w:pPr>
          </w:p>
        </w:tc>
      </w:tr>
      <w:tr w14:paraId="2663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2DA391B6">
            <w:pPr>
              <w:spacing w:line="400" w:lineRule="exact"/>
              <w:jc w:val="left"/>
              <w:rPr>
                <w:rFonts w:hint="eastAsia" w:cs="宋体" w:asciiTheme="minorEastAsia" w:hAnsiTheme="minorEastAsia" w:eastAsiaTheme="minorEastAsia"/>
                <w:sz w:val="21"/>
                <w:szCs w:val="21"/>
              </w:rPr>
            </w:pPr>
          </w:p>
        </w:tc>
        <w:tc>
          <w:tcPr>
            <w:tcW w:w="589" w:type="pct"/>
            <w:vMerge w:val="restart"/>
            <w:vAlign w:val="center"/>
          </w:tcPr>
          <w:p w14:paraId="7719B43A">
            <w:pPr>
              <w:spacing w:line="400" w:lineRule="exact"/>
              <w:jc w:val="center"/>
              <w:rPr>
                <w:rFonts w:hint="eastAsia" w:cs="宋体" w:asciiTheme="minorEastAsia" w:hAnsiTheme="minorEastAsia" w:eastAsiaTheme="minorEastAsia"/>
                <w:sz w:val="21"/>
                <w:szCs w:val="21"/>
                <w:lang w:eastAsia="zh-Hans"/>
              </w:rPr>
            </w:pPr>
            <w:r>
              <w:rPr>
                <w:rFonts w:hint="eastAsia" w:cs="宋体" w:asciiTheme="minorEastAsia" w:hAnsiTheme="minorEastAsia" w:eastAsiaTheme="minorEastAsia"/>
                <w:sz w:val="21"/>
                <w:szCs w:val="21"/>
              </w:rPr>
              <w:t>推荐治疗方案生成</w:t>
            </w:r>
            <w:r>
              <w:rPr>
                <w:rFonts w:hint="eastAsia" w:ascii="宋体" w:hAnsi="宋体" w:cs="楷体"/>
                <w:sz w:val="21"/>
                <w:szCs w:val="21"/>
              </w:rPr>
              <w:t>智能体</w:t>
            </w:r>
          </w:p>
        </w:tc>
        <w:tc>
          <w:tcPr>
            <w:tcW w:w="2555" w:type="pct"/>
            <w:vAlign w:val="center"/>
          </w:tcPr>
          <w:p w14:paraId="30240F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Hans"/>
              </w:rPr>
              <w:t>可利用患者的诊疗数据、专科知识库及医师主观描述(包括：病历、体征、检查、检验、用药等),综合进行诊疗方案推荐。</w:t>
            </w:r>
          </w:p>
        </w:tc>
        <w:tc>
          <w:tcPr>
            <w:tcW w:w="598" w:type="pct"/>
            <w:vAlign w:val="center"/>
          </w:tcPr>
          <w:p w14:paraId="6195D800">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lang w:eastAsia="zh-Hans"/>
              </w:rPr>
            </w:pPr>
          </w:p>
        </w:tc>
        <w:tc>
          <w:tcPr>
            <w:tcW w:w="576" w:type="pct"/>
            <w:vAlign w:val="center"/>
          </w:tcPr>
          <w:p w14:paraId="4FEE6E6B">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lang w:eastAsia="zh-Hans"/>
              </w:rPr>
            </w:pPr>
          </w:p>
        </w:tc>
      </w:tr>
      <w:tr w14:paraId="7890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9" w:type="pct"/>
            <w:vMerge w:val="continue"/>
            <w:vAlign w:val="center"/>
          </w:tcPr>
          <w:p w14:paraId="2F2E282A">
            <w:pPr>
              <w:spacing w:line="400" w:lineRule="exact"/>
              <w:jc w:val="left"/>
              <w:rPr>
                <w:rFonts w:hint="eastAsia" w:cs="宋体" w:asciiTheme="minorEastAsia" w:hAnsiTheme="minorEastAsia" w:eastAsiaTheme="minorEastAsia"/>
                <w:sz w:val="21"/>
                <w:szCs w:val="21"/>
              </w:rPr>
            </w:pPr>
          </w:p>
        </w:tc>
        <w:tc>
          <w:tcPr>
            <w:tcW w:w="589" w:type="pct"/>
            <w:vMerge w:val="continue"/>
            <w:vAlign w:val="center"/>
          </w:tcPr>
          <w:p w14:paraId="18C7A89B">
            <w:pPr>
              <w:spacing w:line="400" w:lineRule="exact"/>
              <w:jc w:val="left"/>
              <w:rPr>
                <w:rFonts w:hint="eastAsia" w:cs="宋体" w:asciiTheme="minorEastAsia" w:hAnsiTheme="minorEastAsia" w:eastAsiaTheme="minorEastAsia"/>
                <w:sz w:val="21"/>
                <w:szCs w:val="21"/>
              </w:rPr>
            </w:pPr>
          </w:p>
        </w:tc>
        <w:tc>
          <w:tcPr>
            <w:tcW w:w="2555" w:type="pct"/>
            <w:vAlign w:val="center"/>
          </w:tcPr>
          <w:p w14:paraId="3E9BF1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Hans"/>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Hans"/>
              </w:rPr>
              <w:t>支持一键调用大模型，无需用户输入患者信息大模型即可基于该患者的全部病历信息结合指南和文献生成个性化治疗方案。</w:t>
            </w:r>
          </w:p>
        </w:tc>
        <w:tc>
          <w:tcPr>
            <w:tcW w:w="598" w:type="pct"/>
            <w:vAlign w:val="center"/>
          </w:tcPr>
          <w:p w14:paraId="7EBA4C31">
            <w:pPr>
              <w:numPr>
                <w:ilvl w:val="0"/>
                <w:numId w:val="0"/>
              </w:numPr>
              <w:spacing w:line="400" w:lineRule="exact"/>
              <w:ind w:left="425" w:leftChars="0" w:hanging="425" w:firstLineChars="0"/>
              <w:rPr>
                <w:rFonts w:hint="eastAsia" w:cs="宋体" w:asciiTheme="minorEastAsia" w:hAnsiTheme="minorEastAsia" w:eastAsiaTheme="minorEastAsia"/>
                <w:kern w:val="0"/>
                <w:sz w:val="21"/>
                <w:szCs w:val="21"/>
              </w:rPr>
            </w:pPr>
          </w:p>
        </w:tc>
        <w:tc>
          <w:tcPr>
            <w:tcW w:w="576" w:type="pct"/>
            <w:vAlign w:val="center"/>
          </w:tcPr>
          <w:p w14:paraId="5F415229">
            <w:pPr>
              <w:numPr>
                <w:ilvl w:val="0"/>
                <w:numId w:val="0"/>
              </w:numPr>
              <w:spacing w:line="400" w:lineRule="exact"/>
              <w:ind w:leftChars="0"/>
              <w:rPr>
                <w:rFonts w:hint="eastAsia" w:cs="宋体" w:asciiTheme="minorEastAsia" w:hAnsiTheme="minorEastAsia" w:eastAsiaTheme="minorEastAsia"/>
                <w:kern w:val="0"/>
                <w:sz w:val="21"/>
                <w:szCs w:val="21"/>
              </w:rPr>
            </w:pPr>
          </w:p>
        </w:tc>
      </w:tr>
    </w:tbl>
    <w:p w14:paraId="58C235CE">
      <w:pPr>
        <w:rPr>
          <w:rFonts w:hint="eastAsia"/>
          <w:b/>
          <w:bCs/>
          <w:sz w:val="21"/>
          <w:szCs w:val="21"/>
          <w:lang w:eastAsia="zh-CN"/>
        </w:rPr>
      </w:pPr>
      <w:r>
        <w:rPr>
          <w:rFonts w:hint="eastAsia"/>
          <w:b/>
          <w:bCs/>
          <w:sz w:val="21"/>
          <w:szCs w:val="21"/>
          <w:lang w:eastAsia="zh-CN"/>
        </w:rPr>
        <w:br w:type="page"/>
      </w:r>
    </w:p>
    <w:p w14:paraId="26257125">
      <w:pPr>
        <w:pStyle w:val="9"/>
        <w:keepNext w:val="0"/>
        <w:keepLines w:val="0"/>
        <w:pageBreakBefore w:val="0"/>
        <w:widowControl w:val="0"/>
        <w:kinsoku/>
        <w:wordWrap/>
        <w:overflowPunct/>
        <w:topLinePunct w:val="0"/>
        <w:autoSpaceDE/>
        <w:autoSpaceDN/>
        <w:bidi w:val="0"/>
        <w:adjustRightInd/>
        <w:snapToGrid/>
        <w:spacing w:before="0" w:after="164" w:afterLines="50" w:line="360" w:lineRule="auto"/>
        <w:ind w:left="0" w:leftChars="0" w:right="0" w:rightChars="0" w:firstLine="0" w:firstLineChars="0"/>
        <w:jc w:val="center"/>
        <w:textAlignment w:val="auto"/>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商务要求偏离表</w:t>
      </w:r>
    </w:p>
    <w:tbl>
      <w:tblPr>
        <w:tblStyle w:val="19"/>
        <w:tblpPr w:leftFromText="180" w:rightFromText="180" w:vertAnchor="text" w:horzAnchor="margin" w:tblpY="-9"/>
        <w:tblOverlap w:val="never"/>
        <w:tblW w:w="955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7"/>
        <w:gridCol w:w="5520"/>
        <w:gridCol w:w="1635"/>
        <w:gridCol w:w="1410"/>
      </w:tblGrid>
      <w:tr w14:paraId="049DF4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5B75989D">
            <w:pPr>
              <w:spacing w:line="360" w:lineRule="auto"/>
              <w:contextualSpacing/>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序号</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1540BE9D">
            <w:pPr>
              <w:spacing w:line="360" w:lineRule="auto"/>
              <w:contextualSpacing/>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商务要求</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A77EADA">
            <w:pPr>
              <w:spacing w:line="360" w:lineRule="auto"/>
              <w:contextualSpacing/>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偏离说明</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2091640">
            <w:pPr>
              <w:spacing w:line="360" w:lineRule="auto"/>
              <w:contextualSpacing/>
              <w:jc w:val="center"/>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备注</w:t>
            </w:r>
          </w:p>
        </w:tc>
      </w:tr>
      <w:tr w14:paraId="3B5D4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5007A1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918EB0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合同签订期：自中标通知书发出之日起 25日历日内。</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675464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4F1279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750E0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42FFFE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243AEEBE">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交付时间</w:t>
            </w:r>
            <w:r>
              <w:rPr>
                <w:rFonts w:hint="eastAsia" w:asciiTheme="minorEastAsia" w:hAnsiTheme="minorEastAsia" w:eastAsiaTheme="minorEastAsia" w:cstheme="minorEastAsia"/>
                <w:color w:val="auto"/>
                <w:sz w:val="21"/>
                <w:szCs w:val="21"/>
                <w:highlight w:val="none"/>
                <w:lang w:bidi="ar"/>
              </w:rPr>
              <w:t>：自合同签订之日起</w:t>
            </w:r>
            <w:r>
              <w:rPr>
                <w:rFonts w:hint="eastAsia" w:asciiTheme="minorEastAsia" w:hAnsiTheme="minorEastAsia" w:eastAsiaTheme="minorEastAsia" w:cstheme="minorEastAsia"/>
                <w:color w:val="auto"/>
                <w:sz w:val="21"/>
                <w:szCs w:val="21"/>
                <w:highlight w:val="none"/>
                <w:lang w:val="en-US" w:eastAsia="zh-CN" w:bidi="ar"/>
              </w:rPr>
              <w:t>60</w:t>
            </w:r>
            <w:r>
              <w:rPr>
                <w:rFonts w:hint="eastAsia" w:asciiTheme="minorEastAsia" w:hAnsiTheme="minorEastAsia" w:eastAsiaTheme="minorEastAsia" w:cstheme="minorEastAsia"/>
                <w:color w:val="auto"/>
                <w:sz w:val="21"/>
                <w:szCs w:val="21"/>
                <w:highlight w:val="none"/>
                <w:lang w:bidi="ar"/>
              </w:rPr>
              <w:t>日</w:t>
            </w:r>
            <w:r>
              <w:rPr>
                <w:rFonts w:hint="eastAsia" w:asciiTheme="minorEastAsia" w:hAnsiTheme="minorEastAsia" w:eastAsiaTheme="minorEastAsia" w:cstheme="minorEastAsia"/>
                <w:color w:val="auto"/>
                <w:sz w:val="21"/>
                <w:szCs w:val="21"/>
                <w:highlight w:val="none"/>
                <w:lang w:bidi="ar"/>
              </w:rPr>
              <w:t>历日内完成实施并上线运行。</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2FCA8A2F">
            <w:pPr>
              <w:keepNext w:val="0"/>
              <w:keepLines w:val="0"/>
              <w:pageBreakBefore w:val="0"/>
              <w:widowControl w:val="0"/>
              <w:kinsoku/>
              <w:wordWrap/>
              <w:overflowPunct/>
              <w:topLinePunct w:val="0"/>
              <w:autoSpaceDE/>
              <w:autoSpaceDN/>
              <w:bidi w:val="0"/>
              <w:adjustRightInd/>
              <w:snapToGrid/>
              <w:spacing w:line="400" w:lineRule="exact"/>
              <w:ind w:left="43"/>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3BC4DAE">
            <w:pPr>
              <w:keepNext w:val="0"/>
              <w:keepLines w:val="0"/>
              <w:pageBreakBefore w:val="0"/>
              <w:widowControl w:val="0"/>
              <w:kinsoku/>
              <w:wordWrap/>
              <w:overflowPunct/>
              <w:topLinePunct w:val="0"/>
              <w:autoSpaceDE/>
              <w:autoSpaceDN/>
              <w:bidi w:val="0"/>
              <w:adjustRightInd/>
              <w:snapToGrid/>
              <w:spacing w:line="400" w:lineRule="exact"/>
              <w:ind w:left="43"/>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2E84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0F61F361">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2CACA667">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服务</w:t>
            </w:r>
            <w:r>
              <w:rPr>
                <w:rFonts w:hint="eastAsia" w:asciiTheme="minorEastAsia" w:hAnsiTheme="minorEastAsia" w:eastAsiaTheme="minorEastAsia" w:cstheme="minorEastAsia"/>
                <w:color w:val="auto"/>
                <w:sz w:val="21"/>
                <w:szCs w:val="21"/>
                <w:highlight w:val="none"/>
                <w:lang w:bidi="ar"/>
              </w:rPr>
              <w:t>地点：采购人指定地点。</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C18D175">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2153F6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140C0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4D2E3E7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5218032">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000000" w:themeColor="text1"/>
                <w:sz w:val="21"/>
                <w:szCs w:val="21"/>
                <w:highlight w:val="none"/>
                <w:lang w:val="en-US" w:eastAsia="zh-CN" w:bidi="ar"/>
                <w14:textFill>
                  <w14:solidFill>
                    <w14:schemeClr w14:val="tx1"/>
                  </w14:solidFill>
                </w14:textFill>
              </w:rPr>
              <w:t>源代码安全审计要求：中标方须向采购方提交合格、合规、可核验的完整系统源代码安全审计报告，该报告必须由具备合法有效专业资质的第三方安全审计机构出具，审计结论需明确本医院软件系统代码无安全漏洞、不存在合规风险，代码开发规范、安全机制完善。</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96EC4E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A307B3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D7C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136BB2E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6DF91BE1">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售后服务要求</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E6A1AA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BEFE21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14219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84043B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21AD8A4">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免费运维期</w:t>
            </w:r>
            <w:r>
              <w:rPr>
                <w:rFonts w:hint="eastAsia" w:asciiTheme="minorEastAsia" w:hAnsiTheme="minorEastAsia" w:eastAsiaTheme="minorEastAsia" w:cstheme="minorEastAsia"/>
                <w:color w:val="auto"/>
                <w:sz w:val="21"/>
                <w:szCs w:val="21"/>
                <w:highlight w:val="none"/>
              </w:rPr>
              <w:t>：</w:t>
            </w:r>
          </w:p>
          <w:p w14:paraId="1F7F5966">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年的</w:t>
            </w:r>
            <w:r>
              <w:rPr>
                <w:rFonts w:hint="eastAsia" w:asciiTheme="minorEastAsia" w:hAnsiTheme="minorEastAsia" w:eastAsiaTheme="minorEastAsia" w:cstheme="minorEastAsia"/>
                <w:color w:val="auto"/>
                <w:sz w:val="21"/>
                <w:szCs w:val="21"/>
                <w:highlight w:val="none"/>
                <w:lang w:val="en-US" w:eastAsia="zh-CN"/>
              </w:rPr>
              <w:t>免</w:t>
            </w:r>
            <w:r>
              <w:rPr>
                <w:rFonts w:hint="eastAsia" w:asciiTheme="minorEastAsia" w:hAnsiTheme="minorEastAsia" w:eastAsiaTheme="minorEastAsia" w:cstheme="minorEastAsia"/>
                <w:color w:val="auto"/>
                <w:sz w:val="21"/>
                <w:szCs w:val="21"/>
                <w:highlight w:val="none"/>
              </w:rPr>
              <w:t>费</w:t>
            </w:r>
            <w:r>
              <w:rPr>
                <w:rFonts w:hint="eastAsia" w:asciiTheme="minorEastAsia" w:hAnsiTheme="minorEastAsia" w:eastAsiaTheme="minorEastAsia" w:cstheme="minorEastAsia"/>
                <w:color w:val="auto"/>
                <w:sz w:val="21"/>
                <w:szCs w:val="21"/>
                <w:highlight w:val="none"/>
                <w:lang w:val="en-US" w:eastAsia="zh-CN"/>
              </w:rPr>
              <w:t>运</w:t>
            </w:r>
            <w:r>
              <w:rPr>
                <w:rFonts w:hint="eastAsia" w:asciiTheme="minorEastAsia" w:hAnsiTheme="minorEastAsia" w:eastAsiaTheme="minorEastAsia" w:cstheme="minorEastAsia"/>
                <w:color w:val="auto"/>
                <w:sz w:val="21"/>
                <w:szCs w:val="21"/>
                <w:highlight w:val="none"/>
              </w:rPr>
              <w:t>维服务，自项目验收合格之</w:t>
            </w:r>
            <w:r>
              <w:rPr>
                <w:rFonts w:hint="eastAsia" w:asciiTheme="minorEastAsia" w:hAnsiTheme="minorEastAsia" w:eastAsiaTheme="minorEastAsia" w:cstheme="minorEastAsia"/>
                <w:color w:val="auto"/>
                <w:sz w:val="21"/>
                <w:szCs w:val="21"/>
                <w:highlight w:val="none"/>
                <w:lang w:val="en-US" w:eastAsia="zh-CN"/>
              </w:rPr>
              <w:t>日</w:t>
            </w:r>
            <w:r>
              <w:rPr>
                <w:rFonts w:hint="eastAsia" w:asciiTheme="minorEastAsia" w:hAnsiTheme="minorEastAsia" w:eastAsiaTheme="minorEastAsia" w:cstheme="minorEastAsia"/>
                <w:color w:val="auto"/>
                <w:sz w:val="21"/>
                <w:szCs w:val="21"/>
                <w:highlight w:val="none"/>
              </w:rPr>
              <w:t>起</w:t>
            </w:r>
            <w:r>
              <w:rPr>
                <w:rFonts w:hint="eastAsia" w:asciiTheme="minorEastAsia" w:hAnsiTheme="minorEastAsia" w:eastAsiaTheme="minorEastAsia" w:cstheme="minorEastAsia"/>
                <w:color w:val="auto"/>
                <w:sz w:val="21"/>
                <w:szCs w:val="21"/>
                <w:highlight w:val="none"/>
                <w:lang w:val="en-US" w:eastAsia="zh-CN"/>
              </w:rPr>
              <w:t>开</w:t>
            </w:r>
            <w:r>
              <w:rPr>
                <w:rFonts w:hint="eastAsia" w:asciiTheme="minorEastAsia" w:hAnsiTheme="minorEastAsia" w:eastAsiaTheme="minorEastAsia" w:cstheme="minorEastAsia"/>
                <w:color w:val="auto"/>
                <w:sz w:val="21"/>
                <w:szCs w:val="21"/>
                <w:highlight w:val="none"/>
              </w:rPr>
              <w:t>始计算。</w:t>
            </w:r>
          </w:p>
          <w:p w14:paraId="085DAF8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运维期内，</w:t>
            </w:r>
            <w:r>
              <w:rPr>
                <w:rFonts w:hint="eastAsia" w:asciiTheme="minorEastAsia" w:hAnsiTheme="minorEastAsia" w:eastAsiaTheme="minorEastAsia" w:cstheme="minorEastAsia"/>
                <w:color w:val="auto"/>
                <w:sz w:val="21"/>
                <w:szCs w:val="21"/>
                <w:highlight w:val="none"/>
                <w:lang w:val="en-US" w:eastAsia="zh-CN"/>
              </w:rPr>
              <w:t>至少</w:t>
            </w:r>
            <w:r>
              <w:rPr>
                <w:rFonts w:hint="eastAsia" w:asciiTheme="minorEastAsia" w:hAnsiTheme="minorEastAsia" w:eastAsiaTheme="minorEastAsia" w:cstheme="minorEastAsia"/>
                <w:color w:val="auto"/>
                <w:sz w:val="21"/>
                <w:szCs w:val="21"/>
                <w:highlight w:val="none"/>
              </w:rPr>
              <w:t>安排</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名运维人员</w:t>
            </w:r>
            <w:r>
              <w:rPr>
                <w:rFonts w:hint="eastAsia" w:asciiTheme="minorEastAsia" w:hAnsiTheme="minorEastAsia" w:eastAsiaTheme="minorEastAsia" w:cstheme="minorEastAsia"/>
                <w:color w:val="auto"/>
                <w:sz w:val="21"/>
                <w:szCs w:val="21"/>
                <w:highlight w:val="none"/>
                <w:lang w:val="en-US" w:eastAsia="zh-CN"/>
              </w:rPr>
              <w:t>提供专职运维服务，</w:t>
            </w:r>
            <w:r>
              <w:rPr>
                <w:rFonts w:hint="eastAsia" w:asciiTheme="minorEastAsia" w:hAnsiTheme="minorEastAsia" w:eastAsiaTheme="minorEastAsia" w:cstheme="minorEastAsia"/>
                <w:color w:val="auto"/>
                <w:sz w:val="21"/>
                <w:szCs w:val="21"/>
                <w:highlight w:val="none"/>
              </w:rPr>
              <w:t>按采购人的要求开展例行维护或采购人指定的系统维护工作，每月向采购人提交月度运维报告。</w:t>
            </w:r>
          </w:p>
          <w:p w14:paraId="5B5968F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运维期内供应商每季度需开展一次回访并提交回访报告。</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C32894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0FD7C0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73B6A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9CAE6BD">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969128F">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响应时间：本项目范围内的软件系统维护服务，必须提供全年无休7*24小时技术热线电话服务。合同期内采购人如遇到使用或技术问题，供应商在采购人问题提出后30分钟内响应，一般问题2小时内解决，复杂问题4小时内解决，通过电话、远程解决不了的，供应商需在6小时内上门进行处理。</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D689FD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E1C57C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665FC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E0C810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5FC6189">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服务人员及要求：</w:t>
            </w:r>
          </w:p>
          <w:p w14:paraId="64C44245">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供应商须根据项目实际情况配备相关技术人员团队，团队人员不少于3人，其中项目经理为本科或以上学历。项目经理须提供其与供应商存在缴纳社保关系的有效证明或提供有效期内的用工合同。以上的技术人员团队在项目交付过程中提供驻场服务。</w:t>
            </w:r>
          </w:p>
          <w:p w14:paraId="70344430">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（2）供应商须承诺在项目交付过程中，安排软件实施人员提供不少于40日的信息化实施驻场服务；采购人将根据实际驻场时间对供应商进行考核【供应商在响应文件中须提供承诺函（格式自拟）】。</w:t>
            </w:r>
          </w:p>
          <w:p w14:paraId="63D140DA">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(3）供应商须设立专职的售后技术人员，并提供专门的联系方式。</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279C6F2">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5CB70CD">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7B434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27E90206">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0C07FF3A">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运行维护：合同期满后，按照合同期内服务内容及标准继续提供运维服务，直至采购人确认更换运维单位或系统报废。不能因合同期满而出现缓维护、拒维护等情况，运维所产生费用由供应商和采购人另行结算。运维金额每年不得超过合同额的10%，运维成本超过该数额的一概由供应商自行承担，项目合同期满后需签订维护和售后服务合同，具体事项以实际谈判为准。</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555A5E6">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E533335">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F189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9E796F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4DCA936">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培训要求：</w:t>
            </w:r>
          </w:p>
          <w:p w14:paraId="16E56D96">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供应商应提供相应的培训计划，并在签订合同后根据计划对采购人的操作人员、维护人员等进行培训，培训时间不少于5个工作日。培训应明确课程内容和目的，课程教材、培训费包括在总报价内，培训时安装屏幕录制软件，形成音视频培训资料。供应商应对培训效果和质量负责，保证采购人的操作人员、维护人员在培训后能够独立且熟练地完成操作使用以及日常维护；</w:t>
            </w:r>
          </w:p>
          <w:p w14:paraId="51EDEBDE">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（2）供应商应对培训的实现方式、地点、人数、时间在响应文件中详细说明，并对培训效果和质量负责，提供最有经验的教员，并保证采购方人员在培训后能够独立且熟练地完成设备的操作使用。</w:t>
            </w:r>
          </w:p>
          <w:p w14:paraId="0EA608D4">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（3）提供系统日常维护系统培训：主要面向医院信息管理技术人员（至少2名）进行培训，使其具备独立且熟练地进行系统日常维护、故障的诊断与处理等方面的培训。</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9DF901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FECF6C5">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0B9C3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5E836F1">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2D55EB88">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报价要求：供应商须就本项目采购需求中的所有实施内容作完整报价。总报价包括但不限于完成本项目开发成本，系统安装调试，试运行，硬件成本，系统运行维护，验收，技术支持，售后服务费用，人工成本，交通，管理成本，培训费，税金，利润及其他所有可能发生的一切费用。合同实施期间，采购人将不予支付供应商没有列入的项目费用，并认为此项目的费用已包括在总报价中，采购人在合同履行期间不再支付其他额外的费用。</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25A046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E6AA338">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5624A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02FB2106">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05A89377">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sz w:val="21"/>
                <w:szCs w:val="21"/>
                <w:highlight w:val="none"/>
                <w:lang w:eastAsia="zh-Hans" w:bidi="ar"/>
              </w:rPr>
              <w:t>验收要求</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E7B4355">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0C2ABC2">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3961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26796127">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6574449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验收标准：(1）项目采购文件及供应商投标（响应）文件中的“技术参数偏离表”，逐条验收；（2）项目采购文件及供应商投标（响应）文件中的“商务条款偏离表”，逐条验收;(3）供应商投标（响应）文件中其他技术、服务、商务性的说明、承诺事项，逐条验收；（4）国家相关法律、法规、标准和规范等；（5）执行《关于印发广西壮族自治区政府采购项目履约验收管理办法的通知》（桂财采〔2015〕22号），采用文中《广西壮族自治区政府采购项目合同验收书》格式文本等规范；（6）验收后如发现存在未按照本项目合同约定（含响应文件）交付货物及服务的，采购人永久保留无偿追溯违约及损失赔偿的权利。</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A77FEF7">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8B531D5">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43AAE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076FB9D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81C38A1">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验收要求：</w:t>
            </w:r>
          </w:p>
          <w:p w14:paraId="1D317EF6">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供应商交付服务成果前应对交付内容作出全面检查和对验收文件进行整理，并列出清单，作为采购人验收和使用的技术条件依据，检验的结果应交采购人，内容如下：①功能验收：验证系统核心功能实现情况；②性能验收：测试效率、数据处理能力等指标；③接口验收：验证与其他系统接口对接稳定性；④文档验收：全面核查项目全套交付文档的完整性、规范性、真实性、有效性，本次须交付文档包含：《数据安全保密协议》、《概要设计说明书 》《 详细设计说明书》、《系统压力 / 性能测试报告》、《系统源代码安全审计报告》、《系统部署与维护手册》、《用户使用手册》《数据库字典表（含系统账号权限清单）》、《第三方接口对接文档》、《售后服务承诺书》、《知识产权承诺书》、《第三方软件授权文件》（如涉及）等。</w:t>
            </w:r>
          </w:p>
          <w:p w14:paraId="2A704720">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采购人应当在服务成果提交并安装、测试、检验、试运行完成后7个工作日内进行验收。采购人逾期不验收的，供应商可视同验收合格（但在合同验收期内难以发现的服务问题除外）。验收合格后由采购人及供应商双方签署验收单，在验收过程中发现供应商有违约问题,供应商须承担违约责任，采购人可暂缓资金结算，待违约问题解决后，方可办理资金结算。流程如下：供应商需负责安装并培训采购人的使用操作人员，并协助采购人一起调试，直到符合技术要求以及合同履行达到验收条件时，由供应商向采购人提出项目竣工测试申请，并于验收前向采购人提供一切有关技术文件、资料和相关记录等竣工材料，并在竣工前7个工作日通知采购人及有关部门准备验收。拟竣工项目的实施总体功能、性能符合采购人认可的技术设计方案及合同规定的，予以验收，并作出验收结果报告。供应商与采购人双方签署项目验收报告，并自正式交付使用之日起，整体项目才视为接受，并开始计算维保期。对于技术参数复杂的设备，可适当延长验收时间。验收合格后由供应商与采购人双方签署货物验收单并加盖采购人公章，供应商与采购人双方各执一份。</w:t>
            </w:r>
          </w:p>
          <w:p w14:paraId="10BCB612">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采购人对验收有异议的，在验收后5个工作日内以书面形式向供应商提出整改，供应商应自收到采购人书面异议后5个工作日内及时予以解决。供应商不按要求整改或拒不整改的，采购人有权终止合同并要求供应商赔偿全部损失事宜。</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4920E83">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C1BB18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4EC11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5E1FF2E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八</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F73D2A1">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hAnsi="宋体" w:cs="宋体"/>
                <w:color w:val="auto"/>
                <w:sz w:val="21"/>
                <w:szCs w:val="21"/>
                <w:highlight w:val="none"/>
                <w:lang w:val="en-US" w:eastAsia="zh-CN" w:bidi="ar"/>
              </w:rPr>
              <w:t>安全生产</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08909C6">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C2CEA51">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6CB5E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0AFC0316">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23FDFD82">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成交供应商应遵守国家关于安全生产有关管理规定，严格按安全标准组织项目实施，并随时接受采购人安全检查人员实施的监督检查，采取必要的安全防护措施，消除事故隐患。由于成交供应商安全措施不力造成事故的责任和因此发生的费用，由成交供应商负责。</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7BA50A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9E37DCD">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ED00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3F79621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EA888CA">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hAnsi="宋体" w:cs="宋体"/>
                <w:color w:val="auto"/>
                <w:sz w:val="21"/>
                <w:szCs w:val="21"/>
                <w:highlight w:val="none"/>
                <w:lang w:val="en-US" w:eastAsia="zh-CN" w:bidi="ar"/>
              </w:rPr>
              <w:t>成交供应商应对项目实施人员进行安全教育，并对他们的安全负责。</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99E88B0">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A9C338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0F74D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185C31EB">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B08EF6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hAnsi="宋体" w:cs="宋体"/>
                <w:color w:val="auto"/>
                <w:sz w:val="21"/>
                <w:szCs w:val="21"/>
                <w:highlight w:val="none"/>
                <w:lang w:val="en-US" w:eastAsia="zh-CN" w:bidi="ar"/>
              </w:rPr>
              <w:t>采购人提供成交供应商实施人员的生产用水、用电、项目实施用临时办公场地等。</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2A54198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6E54A97">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E816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34E5B107">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00503B3">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成交供应商提供的产品必须符合《中华人民共和国的环境保护法》及其他相关环保法律、法规、标准等规定的要求，环保检测分析方法采用中华人民共和国现行的国家规定的方法。噪声检测应符合GB 3768的规定，不得大于80dB (A)。</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1E09EF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E4747E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336C0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6878428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九</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06469DFA">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知识产权</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6E1A6D37">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CBA7B49">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03BA3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0FEF288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438F19D">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采购人在中华人民共和国境内使用供应商提供的产品服务时免受第三方提出的侵犯其专利权或其它知识产权的起诉。如果第三方提出侵权指控，供应商应承担由此而引起的一切法律责任和费用。如因侵犯他人专利权造成采购人损失的，还应赔偿采购人损失。</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AF332E4">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FA5D4F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7EBD0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5060695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352B8E6E">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供应商应严格遵守相关的知识产权及软件版权保护的法律、法规；并在项目所规定的范围内使用本信息系统，任何供应商用于未经授权的商业目的的复制行为所造成的违约或侵权责任由供应商承担。</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83AD7F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A947B6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2F8D1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7B679F2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C542956">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软件服务内容的著作权为广西医科大学第一附属医院所拥有，未经采购人允许，成交供应商不得以任何方式提供给其他任何单位或个人占有使用。</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A9FFF59">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F66785E">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49060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494F6FF8">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十</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21BB84A">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其他要求</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69605A3">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4285E63">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5B0B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987" w:type="dxa"/>
            <w:tcBorders>
              <w:top w:val="single" w:color="auto" w:sz="4" w:space="0"/>
              <w:left w:val="single" w:color="auto" w:sz="4" w:space="0"/>
              <w:bottom w:val="single" w:color="auto" w:sz="4" w:space="0"/>
              <w:right w:val="single" w:color="auto" w:sz="4" w:space="0"/>
            </w:tcBorders>
            <w:noWrap w:val="0"/>
            <w:vAlign w:val="center"/>
          </w:tcPr>
          <w:p w14:paraId="108FBDB0">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558EDCAB">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bidi="ar"/>
              </w:rPr>
              <w:t>供应商不得以任何方式转包或分包本项目。</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FD3340A">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8ED00BC">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r w14:paraId="6B6E4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7" w:type="dxa"/>
            <w:tcBorders>
              <w:top w:val="single" w:color="auto" w:sz="4" w:space="0"/>
              <w:left w:val="single" w:color="auto" w:sz="4" w:space="0"/>
              <w:bottom w:val="single" w:color="auto" w:sz="4" w:space="0"/>
              <w:right w:val="single" w:color="auto" w:sz="4" w:space="0"/>
            </w:tcBorders>
            <w:noWrap w:val="0"/>
            <w:vAlign w:val="center"/>
          </w:tcPr>
          <w:p w14:paraId="25123280">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5520" w:type="dxa"/>
            <w:tcBorders>
              <w:top w:val="single" w:color="auto" w:sz="4" w:space="0"/>
              <w:left w:val="single" w:color="auto" w:sz="4" w:space="0"/>
              <w:bottom w:val="single" w:color="auto" w:sz="4" w:space="0"/>
              <w:right w:val="single" w:color="auto" w:sz="4" w:space="0"/>
            </w:tcBorders>
            <w:noWrap w:val="0"/>
            <w:vAlign w:val="center"/>
          </w:tcPr>
          <w:p w14:paraId="228B381B">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hint="eastAsia" w:hAnsi="宋体" w:cs="宋体"/>
                <w:color w:val="auto"/>
                <w:sz w:val="21"/>
                <w:szCs w:val="21"/>
                <w:highlight w:val="none"/>
                <w:lang w:val="en-US" w:eastAsia="zh-CN" w:bidi="ar"/>
              </w:rPr>
            </w:pPr>
            <w:r>
              <w:rPr>
                <w:rFonts w:hint="eastAsia" w:hAnsi="宋体" w:cs="宋体"/>
                <w:color w:val="auto"/>
                <w:sz w:val="21"/>
                <w:szCs w:val="21"/>
                <w:highlight w:val="none"/>
                <w:lang w:val="en-US" w:eastAsia="zh-CN" w:bidi="ar"/>
              </w:rPr>
              <w:t>开放接口供其他系统同步数据，及与其他系统接口个性化开发。费用应包含在报价中。</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605EA2FF">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B358943">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p>
        </w:tc>
      </w:tr>
    </w:tbl>
    <w:p w14:paraId="7590B13D">
      <w:pPr>
        <w:pStyle w:val="9"/>
        <w:spacing w:before="0" w:line="360" w:lineRule="auto"/>
        <w:ind w:left="113"/>
        <w:rPr>
          <w:rFonts w:hint="eastAsia" w:ascii="宋体" w:hAnsi="宋体" w:eastAsia="宋体" w:cs="宋体"/>
          <w:bCs/>
          <w:color w:val="auto"/>
          <w:sz w:val="44"/>
          <w:szCs w:val="44"/>
          <w:highlight w:val="none"/>
          <w:lang w:eastAsia="zh-CN"/>
        </w:rPr>
      </w:pPr>
    </w:p>
    <w:p w14:paraId="015B6BEF">
      <w:pPr>
        <w:pStyle w:val="9"/>
        <w:spacing w:before="0" w:line="360" w:lineRule="auto"/>
        <w:ind w:left="113"/>
        <w:rPr>
          <w:rFonts w:hint="eastAsia"/>
          <w:b/>
          <w:bCs/>
          <w:sz w:val="21"/>
          <w:szCs w:val="21"/>
          <w:lang w:eastAsia="zh-CN"/>
        </w:rPr>
      </w:pPr>
    </w:p>
    <w:p w14:paraId="51BFC50E">
      <w:pPr>
        <w:pStyle w:val="9"/>
        <w:spacing w:before="0" w:line="360" w:lineRule="auto"/>
        <w:ind w:left="113"/>
        <w:rPr>
          <w:rFonts w:hint="default"/>
          <w:b/>
          <w:bCs/>
          <w:sz w:val="24"/>
          <w:szCs w:val="24"/>
          <w:lang w:val="en-US" w:eastAsia="zh-CN"/>
        </w:rPr>
      </w:pPr>
      <w:r>
        <w:rPr>
          <w:rFonts w:hint="eastAsia"/>
          <w:b/>
          <w:bCs/>
          <w:sz w:val="24"/>
          <w:szCs w:val="24"/>
          <w:lang w:val="en-US" w:eastAsia="zh-CN"/>
        </w:rPr>
        <w:t>注：请在偏离说明里逐条响应，填写“正偏离”或“负偏离”或“无偏离”，不得留空。如出现“负偏离”，请在备注中写明原因。</w:t>
      </w:r>
    </w:p>
    <w:sectPr>
      <w:footerReference r:id="rId5" w:type="default"/>
      <w:pgSz w:w="11906" w:h="16838"/>
      <w:pgMar w:top="1134" w:right="1134" w:bottom="1304" w:left="1134"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00"/>
    <w:family w:val="auto"/>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48176AD">
        <w:pPr>
          <w:pStyle w:val="13"/>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80B21"/>
    <w:multiLevelType w:val="multilevel"/>
    <w:tmpl w:val="4BC80B21"/>
    <w:lvl w:ilvl="0" w:tentative="0">
      <w:start w:val="1"/>
      <w:numFmt w:val="decimal"/>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20"/>
  <w:drawingGridVerticalSpacing w:val="163"/>
  <w:noPunctuationKerning w:val="1"/>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3F1"/>
    <w:rsid w:val="00000D33"/>
    <w:rsid w:val="00001261"/>
    <w:rsid w:val="000013CE"/>
    <w:rsid w:val="000049BF"/>
    <w:rsid w:val="00004AEE"/>
    <w:rsid w:val="0001074F"/>
    <w:rsid w:val="000130BD"/>
    <w:rsid w:val="00013C19"/>
    <w:rsid w:val="00013CC0"/>
    <w:rsid w:val="000216BC"/>
    <w:rsid w:val="000217CA"/>
    <w:rsid w:val="00030960"/>
    <w:rsid w:val="00031121"/>
    <w:rsid w:val="00032529"/>
    <w:rsid w:val="00036431"/>
    <w:rsid w:val="00047662"/>
    <w:rsid w:val="00047F91"/>
    <w:rsid w:val="00050D92"/>
    <w:rsid w:val="00051184"/>
    <w:rsid w:val="0005239B"/>
    <w:rsid w:val="00053C2B"/>
    <w:rsid w:val="0005473B"/>
    <w:rsid w:val="0005647D"/>
    <w:rsid w:val="00056BE9"/>
    <w:rsid w:val="00064AD4"/>
    <w:rsid w:val="00064C74"/>
    <w:rsid w:val="00065358"/>
    <w:rsid w:val="00065971"/>
    <w:rsid w:val="00065CDF"/>
    <w:rsid w:val="0006774A"/>
    <w:rsid w:val="00072491"/>
    <w:rsid w:val="00072843"/>
    <w:rsid w:val="000806A5"/>
    <w:rsid w:val="00084FC0"/>
    <w:rsid w:val="00096621"/>
    <w:rsid w:val="000A02A2"/>
    <w:rsid w:val="000B13EF"/>
    <w:rsid w:val="000B5B8B"/>
    <w:rsid w:val="000B7791"/>
    <w:rsid w:val="000C47F9"/>
    <w:rsid w:val="000C64B8"/>
    <w:rsid w:val="000D3B31"/>
    <w:rsid w:val="000D3EE9"/>
    <w:rsid w:val="000D69A9"/>
    <w:rsid w:val="000E0139"/>
    <w:rsid w:val="000E3DB1"/>
    <w:rsid w:val="000E431D"/>
    <w:rsid w:val="000E5886"/>
    <w:rsid w:val="000F0993"/>
    <w:rsid w:val="000F4BB0"/>
    <w:rsid w:val="000F53E7"/>
    <w:rsid w:val="0010439A"/>
    <w:rsid w:val="00111FDC"/>
    <w:rsid w:val="00112454"/>
    <w:rsid w:val="00113646"/>
    <w:rsid w:val="0011403E"/>
    <w:rsid w:val="001143C4"/>
    <w:rsid w:val="00114CCC"/>
    <w:rsid w:val="00127C78"/>
    <w:rsid w:val="00130529"/>
    <w:rsid w:val="00135B8B"/>
    <w:rsid w:val="00136B5B"/>
    <w:rsid w:val="00136F35"/>
    <w:rsid w:val="00140475"/>
    <w:rsid w:val="00144CF1"/>
    <w:rsid w:val="001505E2"/>
    <w:rsid w:val="001525ED"/>
    <w:rsid w:val="001555B2"/>
    <w:rsid w:val="0016678E"/>
    <w:rsid w:val="00172006"/>
    <w:rsid w:val="001733C2"/>
    <w:rsid w:val="001801C8"/>
    <w:rsid w:val="0018284F"/>
    <w:rsid w:val="00183964"/>
    <w:rsid w:val="00184B22"/>
    <w:rsid w:val="00187F77"/>
    <w:rsid w:val="001929E3"/>
    <w:rsid w:val="00192F0A"/>
    <w:rsid w:val="00197E02"/>
    <w:rsid w:val="001A3D25"/>
    <w:rsid w:val="001A4683"/>
    <w:rsid w:val="001A46A4"/>
    <w:rsid w:val="001B45F1"/>
    <w:rsid w:val="001B4BDA"/>
    <w:rsid w:val="001B605C"/>
    <w:rsid w:val="001C1013"/>
    <w:rsid w:val="001C5483"/>
    <w:rsid w:val="001C77C5"/>
    <w:rsid w:val="001C78D2"/>
    <w:rsid w:val="001C7CAF"/>
    <w:rsid w:val="001D0D3B"/>
    <w:rsid w:val="001D200D"/>
    <w:rsid w:val="001D5C6B"/>
    <w:rsid w:val="001E10BE"/>
    <w:rsid w:val="001E3680"/>
    <w:rsid w:val="001E39AB"/>
    <w:rsid w:val="001F0DD8"/>
    <w:rsid w:val="001F0E4F"/>
    <w:rsid w:val="001F298E"/>
    <w:rsid w:val="001F4E09"/>
    <w:rsid w:val="002005A7"/>
    <w:rsid w:val="00200C79"/>
    <w:rsid w:val="00204284"/>
    <w:rsid w:val="0020446F"/>
    <w:rsid w:val="00205000"/>
    <w:rsid w:val="002056DB"/>
    <w:rsid w:val="00206537"/>
    <w:rsid w:val="00206555"/>
    <w:rsid w:val="00212AE6"/>
    <w:rsid w:val="002219BA"/>
    <w:rsid w:val="002229D5"/>
    <w:rsid w:val="002306FA"/>
    <w:rsid w:val="002370CF"/>
    <w:rsid w:val="00240D85"/>
    <w:rsid w:val="00245F4B"/>
    <w:rsid w:val="0024635F"/>
    <w:rsid w:val="0025108F"/>
    <w:rsid w:val="00255503"/>
    <w:rsid w:val="002562D3"/>
    <w:rsid w:val="00257655"/>
    <w:rsid w:val="00271AFA"/>
    <w:rsid w:val="0027331D"/>
    <w:rsid w:val="00273853"/>
    <w:rsid w:val="00275105"/>
    <w:rsid w:val="0027537B"/>
    <w:rsid w:val="00275989"/>
    <w:rsid w:val="0028052C"/>
    <w:rsid w:val="0028316C"/>
    <w:rsid w:val="0028334D"/>
    <w:rsid w:val="002870AB"/>
    <w:rsid w:val="00287649"/>
    <w:rsid w:val="00293867"/>
    <w:rsid w:val="00293C9F"/>
    <w:rsid w:val="00294DE8"/>
    <w:rsid w:val="0029601C"/>
    <w:rsid w:val="002A5ECE"/>
    <w:rsid w:val="002B0EF6"/>
    <w:rsid w:val="002B2074"/>
    <w:rsid w:val="002B5905"/>
    <w:rsid w:val="002C2261"/>
    <w:rsid w:val="002D0F62"/>
    <w:rsid w:val="002D13E5"/>
    <w:rsid w:val="002D5B19"/>
    <w:rsid w:val="002E1E45"/>
    <w:rsid w:val="002E4FAB"/>
    <w:rsid w:val="002E78E2"/>
    <w:rsid w:val="002F64FC"/>
    <w:rsid w:val="002F68D9"/>
    <w:rsid w:val="002F78B1"/>
    <w:rsid w:val="00302959"/>
    <w:rsid w:val="00305C88"/>
    <w:rsid w:val="00310E7D"/>
    <w:rsid w:val="00312D07"/>
    <w:rsid w:val="00313584"/>
    <w:rsid w:val="003173A3"/>
    <w:rsid w:val="00325377"/>
    <w:rsid w:val="00325BEE"/>
    <w:rsid w:val="00334DC4"/>
    <w:rsid w:val="00340634"/>
    <w:rsid w:val="00341215"/>
    <w:rsid w:val="00351039"/>
    <w:rsid w:val="003543EA"/>
    <w:rsid w:val="003546D9"/>
    <w:rsid w:val="00363C00"/>
    <w:rsid w:val="0036546B"/>
    <w:rsid w:val="00365690"/>
    <w:rsid w:val="00371BBF"/>
    <w:rsid w:val="003810F3"/>
    <w:rsid w:val="00381223"/>
    <w:rsid w:val="00382870"/>
    <w:rsid w:val="00385DA8"/>
    <w:rsid w:val="003912B3"/>
    <w:rsid w:val="003A3B5F"/>
    <w:rsid w:val="003A51DD"/>
    <w:rsid w:val="003B0F4C"/>
    <w:rsid w:val="003B52C1"/>
    <w:rsid w:val="003B6610"/>
    <w:rsid w:val="003D0AC0"/>
    <w:rsid w:val="003D0B41"/>
    <w:rsid w:val="003D17EE"/>
    <w:rsid w:val="003D7F18"/>
    <w:rsid w:val="003E0990"/>
    <w:rsid w:val="003E4D60"/>
    <w:rsid w:val="003E78BB"/>
    <w:rsid w:val="003F024C"/>
    <w:rsid w:val="003F2457"/>
    <w:rsid w:val="003F7744"/>
    <w:rsid w:val="00401031"/>
    <w:rsid w:val="00402830"/>
    <w:rsid w:val="00402D93"/>
    <w:rsid w:val="00413228"/>
    <w:rsid w:val="00413D9C"/>
    <w:rsid w:val="00416931"/>
    <w:rsid w:val="00421B40"/>
    <w:rsid w:val="004225AC"/>
    <w:rsid w:val="00427D93"/>
    <w:rsid w:val="00430B3A"/>
    <w:rsid w:val="00432236"/>
    <w:rsid w:val="00433534"/>
    <w:rsid w:val="00454D50"/>
    <w:rsid w:val="00455C1A"/>
    <w:rsid w:val="004578E5"/>
    <w:rsid w:val="00461524"/>
    <w:rsid w:val="0046749B"/>
    <w:rsid w:val="00467DD2"/>
    <w:rsid w:val="004718B7"/>
    <w:rsid w:val="00474EF3"/>
    <w:rsid w:val="0048096D"/>
    <w:rsid w:val="00487540"/>
    <w:rsid w:val="004931DC"/>
    <w:rsid w:val="00495BDA"/>
    <w:rsid w:val="00497148"/>
    <w:rsid w:val="004A03F1"/>
    <w:rsid w:val="004C44BB"/>
    <w:rsid w:val="004D58AC"/>
    <w:rsid w:val="004D58EC"/>
    <w:rsid w:val="004E0C2D"/>
    <w:rsid w:val="004E2154"/>
    <w:rsid w:val="004E2DF6"/>
    <w:rsid w:val="004E3072"/>
    <w:rsid w:val="004E6BC9"/>
    <w:rsid w:val="004F12EF"/>
    <w:rsid w:val="004F5BF4"/>
    <w:rsid w:val="005126BF"/>
    <w:rsid w:val="00512BD3"/>
    <w:rsid w:val="00512F28"/>
    <w:rsid w:val="0051407A"/>
    <w:rsid w:val="005159D2"/>
    <w:rsid w:val="005201DF"/>
    <w:rsid w:val="005262CD"/>
    <w:rsid w:val="005301BD"/>
    <w:rsid w:val="00531430"/>
    <w:rsid w:val="00535BFE"/>
    <w:rsid w:val="00535CD6"/>
    <w:rsid w:val="00536616"/>
    <w:rsid w:val="00536C3D"/>
    <w:rsid w:val="00541F47"/>
    <w:rsid w:val="00557281"/>
    <w:rsid w:val="00557306"/>
    <w:rsid w:val="00560E4D"/>
    <w:rsid w:val="00561BFA"/>
    <w:rsid w:val="00562BD1"/>
    <w:rsid w:val="00563C0F"/>
    <w:rsid w:val="00570406"/>
    <w:rsid w:val="005715A2"/>
    <w:rsid w:val="0057194D"/>
    <w:rsid w:val="00572166"/>
    <w:rsid w:val="00573A6E"/>
    <w:rsid w:val="00574352"/>
    <w:rsid w:val="005749F7"/>
    <w:rsid w:val="005761D0"/>
    <w:rsid w:val="005814E5"/>
    <w:rsid w:val="00582DDE"/>
    <w:rsid w:val="00591F32"/>
    <w:rsid w:val="00593C77"/>
    <w:rsid w:val="005B0FC4"/>
    <w:rsid w:val="005B5C5C"/>
    <w:rsid w:val="005B6733"/>
    <w:rsid w:val="005C2747"/>
    <w:rsid w:val="005C55D3"/>
    <w:rsid w:val="005D0EAA"/>
    <w:rsid w:val="005D4BAC"/>
    <w:rsid w:val="005D660A"/>
    <w:rsid w:val="005E33D0"/>
    <w:rsid w:val="005E3B0F"/>
    <w:rsid w:val="005E494B"/>
    <w:rsid w:val="005E569A"/>
    <w:rsid w:val="005F0F59"/>
    <w:rsid w:val="005F747F"/>
    <w:rsid w:val="005F7584"/>
    <w:rsid w:val="00600C19"/>
    <w:rsid w:val="006011D0"/>
    <w:rsid w:val="006013FF"/>
    <w:rsid w:val="006037F0"/>
    <w:rsid w:val="006039CD"/>
    <w:rsid w:val="00606125"/>
    <w:rsid w:val="006109C5"/>
    <w:rsid w:val="0061137D"/>
    <w:rsid w:val="00616B19"/>
    <w:rsid w:val="00630118"/>
    <w:rsid w:val="006318CC"/>
    <w:rsid w:val="00631C80"/>
    <w:rsid w:val="00632F19"/>
    <w:rsid w:val="0063349D"/>
    <w:rsid w:val="00633D12"/>
    <w:rsid w:val="0063458B"/>
    <w:rsid w:val="00641DC1"/>
    <w:rsid w:val="00642736"/>
    <w:rsid w:val="006428A4"/>
    <w:rsid w:val="00651BD6"/>
    <w:rsid w:val="006548AE"/>
    <w:rsid w:val="006556FF"/>
    <w:rsid w:val="006600A0"/>
    <w:rsid w:val="00665770"/>
    <w:rsid w:val="00670E92"/>
    <w:rsid w:val="0067227A"/>
    <w:rsid w:val="006728A2"/>
    <w:rsid w:val="00673D67"/>
    <w:rsid w:val="00674F66"/>
    <w:rsid w:val="006750EE"/>
    <w:rsid w:val="0067662F"/>
    <w:rsid w:val="0067669B"/>
    <w:rsid w:val="006807B0"/>
    <w:rsid w:val="00687061"/>
    <w:rsid w:val="00696157"/>
    <w:rsid w:val="006A59B5"/>
    <w:rsid w:val="006B138C"/>
    <w:rsid w:val="006B592B"/>
    <w:rsid w:val="006B5AEA"/>
    <w:rsid w:val="006C41E8"/>
    <w:rsid w:val="006C52D1"/>
    <w:rsid w:val="006C5ED7"/>
    <w:rsid w:val="006C6A10"/>
    <w:rsid w:val="006D2D3B"/>
    <w:rsid w:val="006E039B"/>
    <w:rsid w:val="006E2ABD"/>
    <w:rsid w:val="006E583D"/>
    <w:rsid w:val="006E6182"/>
    <w:rsid w:val="006E6811"/>
    <w:rsid w:val="006F028C"/>
    <w:rsid w:val="006F7810"/>
    <w:rsid w:val="00703E64"/>
    <w:rsid w:val="00704890"/>
    <w:rsid w:val="00704CD0"/>
    <w:rsid w:val="0070576E"/>
    <w:rsid w:val="00707911"/>
    <w:rsid w:val="0071119B"/>
    <w:rsid w:val="007127AC"/>
    <w:rsid w:val="00714A49"/>
    <w:rsid w:val="00714D7C"/>
    <w:rsid w:val="00732EE3"/>
    <w:rsid w:val="0074341E"/>
    <w:rsid w:val="007451CF"/>
    <w:rsid w:val="00756317"/>
    <w:rsid w:val="00760220"/>
    <w:rsid w:val="00760CA9"/>
    <w:rsid w:val="00761256"/>
    <w:rsid w:val="00762457"/>
    <w:rsid w:val="00762F2C"/>
    <w:rsid w:val="00766D46"/>
    <w:rsid w:val="00767004"/>
    <w:rsid w:val="00772A02"/>
    <w:rsid w:val="00776523"/>
    <w:rsid w:val="00781C51"/>
    <w:rsid w:val="00786B69"/>
    <w:rsid w:val="00791F32"/>
    <w:rsid w:val="007924F9"/>
    <w:rsid w:val="007957E4"/>
    <w:rsid w:val="00795896"/>
    <w:rsid w:val="007964C6"/>
    <w:rsid w:val="00797138"/>
    <w:rsid w:val="007A112D"/>
    <w:rsid w:val="007A4197"/>
    <w:rsid w:val="007A702D"/>
    <w:rsid w:val="007B34A0"/>
    <w:rsid w:val="007B4C47"/>
    <w:rsid w:val="007B6314"/>
    <w:rsid w:val="007B6D8A"/>
    <w:rsid w:val="007D02CB"/>
    <w:rsid w:val="007D03AD"/>
    <w:rsid w:val="007D3EBA"/>
    <w:rsid w:val="007D4097"/>
    <w:rsid w:val="007D4AEC"/>
    <w:rsid w:val="007D56B5"/>
    <w:rsid w:val="007D696B"/>
    <w:rsid w:val="007F0AB9"/>
    <w:rsid w:val="00817432"/>
    <w:rsid w:val="008242E4"/>
    <w:rsid w:val="00825BB8"/>
    <w:rsid w:val="008260EE"/>
    <w:rsid w:val="00826230"/>
    <w:rsid w:val="008314C3"/>
    <w:rsid w:val="00834C1C"/>
    <w:rsid w:val="00835726"/>
    <w:rsid w:val="00837893"/>
    <w:rsid w:val="008379AE"/>
    <w:rsid w:val="0084011E"/>
    <w:rsid w:val="00840837"/>
    <w:rsid w:val="008460CE"/>
    <w:rsid w:val="00851C58"/>
    <w:rsid w:val="0085219B"/>
    <w:rsid w:val="00864926"/>
    <w:rsid w:val="00872D26"/>
    <w:rsid w:val="00876DF9"/>
    <w:rsid w:val="00882782"/>
    <w:rsid w:val="00886C0B"/>
    <w:rsid w:val="008873A7"/>
    <w:rsid w:val="00890580"/>
    <w:rsid w:val="00892F2C"/>
    <w:rsid w:val="00897AC7"/>
    <w:rsid w:val="008A0D39"/>
    <w:rsid w:val="008A20FF"/>
    <w:rsid w:val="008A50CA"/>
    <w:rsid w:val="008A72C2"/>
    <w:rsid w:val="008B0679"/>
    <w:rsid w:val="008B09D2"/>
    <w:rsid w:val="008B6D3C"/>
    <w:rsid w:val="008B7471"/>
    <w:rsid w:val="008B7540"/>
    <w:rsid w:val="008C0C16"/>
    <w:rsid w:val="008C1245"/>
    <w:rsid w:val="008C4F6C"/>
    <w:rsid w:val="008C75E9"/>
    <w:rsid w:val="008C7C24"/>
    <w:rsid w:val="008D077B"/>
    <w:rsid w:val="008D323C"/>
    <w:rsid w:val="008D4A24"/>
    <w:rsid w:val="008D6D48"/>
    <w:rsid w:val="008E41E0"/>
    <w:rsid w:val="008E435E"/>
    <w:rsid w:val="008F1C11"/>
    <w:rsid w:val="008F1CD5"/>
    <w:rsid w:val="008F4E04"/>
    <w:rsid w:val="008F55BF"/>
    <w:rsid w:val="008F6A89"/>
    <w:rsid w:val="00900758"/>
    <w:rsid w:val="009010F0"/>
    <w:rsid w:val="00901C84"/>
    <w:rsid w:val="00902D9C"/>
    <w:rsid w:val="00904D57"/>
    <w:rsid w:val="0091391F"/>
    <w:rsid w:val="009144C0"/>
    <w:rsid w:val="0091489A"/>
    <w:rsid w:val="00921877"/>
    <w:rsid w:val="00926672"/>
    <w:rsid w:val="00926F4F"/>
    <w:rsid w:val="00926FC3"/>
    <w:rsid w:val="00927CF0"/>
    <w:rsid w:val="009344D5"/>
    <w:rsid w:val="00935B87"/>
    <w:rsid w:val="00936022"/>
    <w:rsid w:val="00936471"/>
    <w:rsid w:val="00936A85"/>
    <w:rsid w:val="009433AB"/>
    <w:rsid w:val="00945FDF"/>
    <w:rsid w:val="00956BD5"/>
    <w:rsid w:val="00963F39"/>
    <w:rsid w:val="00966A74"/>
    <w:rsid w:val="00967EA8"/>
    <w:rsid w:val="009723BC"/>
    <w:rsid w:val="009774AA"/>
    <w:rsid w:val="0098236B"/>
    <w:rsid w:val="00991739"/>
    <w:rsid w:val="00992BB6"/>
    <w:rsid w:val="00994ECF"/>
    <w:rsid w:val="0099682C"/>
    <w:rsid w:val="00996AA6"/>
    <w:rsid w:val="00997994"/>
    <w:rsid w:val="009A0F5D"/>
    <w:rsid w:val="009A4EE1"/>
    <w:rsid w:val="009A4F14"/>
    <w:rsid w:val="009A6E1D"/>
    <w:rsid w:val="009A7B66"/>
    <w:rsid w:val="009B20CB"/>
    <w:rsid w:val="009B6343"/>
    <w:rsid w:val="009B7AD0"/>
    <w:rsid w:val="009B7B59"/>
    <w:rsid w:val="009B7DE8"/>
    <w:rsid w:val="009C2285"/>
    <w:rsid w:val="009C673C"/>
    <w:rsid w:val="009C7B2C"/>
    <w:rsid w:val="009D2324"/>
    <w:rsid w:val="009D4389"/>
    <w:rsid w:val="009D7800"/>
    <w:rsid w:val="009E0E1D"/>
    <w:rsid w:val="009E13BD"/>
    <w:rsid w:val="009E6761"/>
    <w:rsid w:val="009F0894"/>
    <w:rsid w:val="009F5A0E"/>
    <w:rsid w:val="00A0271C"/>
    <w:rsid w:val="00A04A22"/>
    <w:rsid w:val="00A04F54"/>
    <w:rsid w:val="00A11178"/>
    <w:rsid w:val="00A213B8"/>
    <w:rsid w:val="00A226C1"/>
    <w:rsid w:val="00A23942"/>
    <w:rsid w:val="00A24532"/>
    <w:rsid w:val="00A269E3"/>
    <w:rsid w:val="00A321D1"/>
    <w:rsid w:val="00A33396"/>
    <w:rsid w:val="00A355A8"/>
    <w:rsid w:val="00A40EBB"/>
    <w:rsid w:val="00A469CA"/>
    <w:rsid w:val="00A47719"/>
    <w:rsid w:val="00A50661"/>
    <w:rsid w:val="00A519A0"/>
    <w:rsid w:val="00A52698"/>
    <w:rsid w:val="00A53678"/>
    <w:rsid w:val="00A548D3"/>
    <w:rsid w:val="00A62C84"/>
    <w:rsid w:val="00A64556"/>
    <w:rsid w:val="00A64DBF"/>
    <w:rsid w:val="00A65CC9"/>
    <w:rsid w:val="00A75061"/>
    <w:rsid w:val="00A80474"/>
    <w:rsid w:val="00A80FC6"/>
    <w:rsid w:val="00A81A70"/>
    <w:rsid w:val="00A861E6"/>
    <w:rsid w:val="00A87AE5"/>
    <w:rsid w:val="00A910B6"/>
    <w:rsid w:val="00A91E07"/>
    <w:rsid w:val="00A9276C"/>
    <w:rsid w:val="00A93684"/>
    <w:rsid w:val="00A9581C"/>
    <w:rsid w:val="00AA0C70"/>
    <w:rsid w:val="00AA2230"/>
    <w:rsid w:val="00AA650C"/>
    <w:rsid w:val="00AB6E42"/>
    <w:rsid w:val="00AC1119"/>
    <w:rsid w:val="00AD100C"/>
    <w:rsid w:val="00AD4ADD"/>
    <w:rsid w:val="00AD7402"/>
    <w:rsid w:val="00AE02BD"/>
    <w:rsid w:val="00AE212D"/>
    <w:rsid w:val="00AE2D1B"/>
    <w:rsid w:val="00AE35A4"/>
    <w:rsid w:val="00AE4C45"/>
    <w:rsid w:val="00AE60FB"/>
    <w:rsid w:val="00AF04DE"/>
    <w:rsid w:val="00AF0F08"/>
    <w:rsid w:val="00AF2A5A"/>
    <w:rsid w:val="00AF3351"/>
    <w:rsid w:val="00AF365E"/>
    <w:rsid w:val="00AF4DF2"/>
    <w:rsid w:val="00AF627B"/>
    <w:rsid w:val="00B0336E"/>
    <w:rsid w:val="00B14067"/>
    <w:rsid w:val="00B14CBF"/>
    <w:rsid w:val="00B157A9"/>
    <w:rsid w:val="00B160A4"/>
    <w:rsid w:val="00B20020"/>
    <w:rsid w:val="00B21EDC"/>
    <w:rsid w:val="00B221AD"/>
    <w:rsid w:val="00B228FA"/>
    <w:rsid w:val="00B27067"/>
    <w:rsid w:val="00B32519"/>
    <w:rsid w:val="00B32E57"/>
    <w:rsid w:val="00B4066E"/>
    <w:rsid w:val="00B425C6"/>
    <w:rsid w:val="00B508A7"/>
    <w:rsid w:val="00B5503A"/>
    <w:rsid w:val="00B57524"/>
    <w:rsid w:val="00B61014"/>
    <w:rsid w:val="00B63775"/>
    <w:rsid w:val="00B65C9C"/>
    <w:rsid w:val="00B66C48"/>
    <w:rsid w:val="00B67DAA"/>
    <w:rsid w:val="00B81E66"/>
    <w:rsid w:val="00B8582C"/>
    <w:rsid w:val="00B8601A"/>
    <w:rsid w:val="00B86F8E"/>
    <w:rsid w:val="00B92512"/>
    <w:rsid w:val="00B92A1C"/>
    <w:rsid w:val="00B941AF"/>
    <w:rsid w:val="00B9453A"/>
    <w:rsid w:val="00B94A0B"/>
    <w:rsid w:val="00B94DB1"/>
    <w:rsid w:val="00B95C2D"/>
    <w:rsid w:val="00BA1507"/>
    <w:rsid w:val="00BA3E6E"/>
    <w:rsid w:val="00BA68DA"/>
    <w:rsid w:val="00BB0C1E"/>
    <w:rsid w:val="00BB2889"/>
    <w:rsid w:val="00BB6A59"/>
    <w:rsid w:val="00BC257F"/>
    <w:rsid w:val="00BD1EA4"/>
    <w:rsid w:val="00BD4702"/>
    <w:rsid w:val="00BD61AC"/>
    <w:rsid w:val="00BE1DAE"/>
    <w:rsid w:val="00BE2982"/>
    <w:rsid w:val="00BE6605"/>
    <w:rsid w:val="00BF139C"/>
    <w:rsid w:val="00BF46FE"/>
    <w:rsid w:val="00BF6DE5"/>
    <w:rsid w:val="00BF742C"/>
    <w:rsid w:val="00C0216B"/>
    <w:rsid w:val="00C10021"/>
    <w:rsid w:val="00C10E98"/>
    <w:rsid w:val="00C11275"/>
    <w:rsid w:val="00C1418E"/>
    <w:rsid w:val="00C16DC6"/>
    <w:rsid w:val="00C17C92"/>
    <w:rsid w:val="00C17D3A"/>
    <w:rsid w:val="00C246D4"/>
    <w:rsid w:val="00C26766"/>
    <w:rsid w:val="00C26F1F"/>
    <w:rsid w:val="00C3060E"/>
    <w:rsid w:val="00C3160F"/>
    <w:rsid w:val="00C343C6"/>
    <w:rsid w:val="00C35750"/>
    <w:rsid w:val="00C36FC8"/>
    <w:rsid w:val="00C3721F"/>
    <w:rsid w:val="00C4182C"/>
    <w:rsid w:val="00C43070"/>
    <w:rsid w:val="00C51DFA"/>
    <w:rsid w:val="00C56A26"/>
    <w:rsid w:val="00C618FC"/>
    <w:rsid w:val="00C63A4C"/>
    <w:rsid w:val="00C6597B"/>
    <w:rsid w:val="00C65FC1"/>
    <w:rsid w:val="00C66895"/>
    <w:rsid w:val="00C705B1"/>
    <w:rsid w:val="00C71AEB"/>
    <w:rsid w:val="00C728B5"/>
    <w:rsid w:val="00C768AA"/>
    <w:rsid w:val="00C77BD8"/>
    <w:rsid w:val="00C834F8"/>
    <w:rsid w:val="00C83A2E"/>
    <w:rsid w:val="00C8780B"/>
    <w:rsid w:val="00C907C0"/>
    <w:rsid w:val="00C92775"/>
    <w:rsid w:val="00C92E9C"/>
    <w:rsid w:val="00C93BDA"/>
    <w:rsid w:val="00CA203E"/>
    <w:rsid w:val="00CA20F9"/>
    <w:rsid w:val="00CA73DA"/>
    <w:rsid w:val="00CA76BE"/>
    <w:rsid w:val="00CB32C5"/>
    <w:rsid w:val="00CC273F"/>
    <w:rsid w:val="00CC67E6"/>
    <w:rsid w:val="00CD093E"/>
    <w:rsid w:val="00CD1672"/>
    <w:rsid w:val="00CD1AD8"/>
    <w:rsid w:val="00CD23E3"/>
    <w:rsid w:val="00CE250B"/>
    <w:rsid w:val="00CE3588"/>
    <w:rsid w:val="00CE5BF1"/>
    <w:rsid w:val="00CE7A2E"/>
    <w:rsid w:val="00CF0DF5"/>
    <w:rsid w:val="00CF0F33"/>
    <w:rsid w:val="00CF22C4"/>
    <w:rsid w:val="00CF38B2"/>
    <w:rsid w:val="00CF6AD6"/>
    <w:rsid w:val="00CF6DF3"/>
    <w:rsid w:val="00D04F96"/>
    <w:rsid w:val="00D0624B"/>
    <w:rsid w:val="00D12EB8"/>
    <w:rsid w:val="00D13D48"/>
    <w:rsid w:val="00D23742"/>
    <w:rsid w:val="00D2446C"/>
    <w:rsid w:val="00D31459"/>
    <w:rsid w:val="00D35E09"/>
    <w:rsid w:val="00D36443"/>
    <w:rsid w:val="00D37C09"/>
    <w:rsid w:val="00D40FF4"/>
    <w:rsid w:val="00D4144E"/>
    <w:rsid w:val="00D43152"/>
    <w:rsid w:val="00D43B6A"/>
    <w:rsid w:val="00D45D97"/>
    <w:rsid w:val="00D478FB"/>
    <w:rsid w:val="00D50E3F"/>
    <w:rsid w:val="00D54971"/>
    <w:rsid w:val="00D55989"/>
    <w:rsid w:val="00D572C5"/>
    <w:rsid w:val="00D62F6B"/>
    <w:rsid w:val="00D63E55"/>
    <w:rsid w:val="00D65619"/>
    <w:rsid w:val="00D67CDD"/>
    <w:rsid w:val="00D714B0"/>
    <w:rsid w:val="00D825CB"/>
    <w:rsid w:val="00D9255D"/>
    <w:rsid w:val="00D94F36"/>
    <w:rsid w:val="00D95AFA"/>
    <w:rsid w:val="00D970FB"/>
    <w:rsid w:val="00DA537A"/>
    <w:rsid w:val="00DB099E"/>
    <w:rsid w:val="00DC2478"/>
    <w:rsid w:val="00DC2B64"/>
    <w:rsid w:val="00DC2E6B"/>
    <w:rsid w:val="00DC3302"/>
    <w:rsid w:val="00DC7C31"/>
    <w:rsid w:val="00DC7E84"/>
    <w:rsid w:val="00DD2A28"/>
    <w:rsid w:val="00DD2D8D"/>
    <w:rsid w:val="00DD73B2"/>
    <w:rsid w:val="00DE0AEE"/>
    <w:rsid w:val="00DE3717"/>
    <w:rsid w:val="00DF1052"/>
    <w:rsid w:val="00DF4433"/>
    <w:rsid w:val="00E03719"/>
    <w:rsid w:val="00E0388E"/>
    <w:rsid w:val="00E1191D"/>
    <w:rsid w:val="00E12A9B"/>
    <w:rsid w:val="00E131FC"/>
    <w:rsid w:val="00E21C54"/>
    <w:rsid w:val="00E30097"/>
    <w:rsid w:val="00E3081E"/>
    <w:rsid w:val="00E32758"/>
    <w:rsid w:val="00E35DA9"/>
    <w:rsid w:val="00E378E9"/>
    <w:rsid w:val="00E435FA"/>
    <w:rsid w:val="00E44A51"/>
    <w:rsid w:val="00E46033"/>
    <w:rsid w:val="00E46CA3"/>
    <w:rsid w:val="00E5326C"/>
    <w:rsid w:val="00E53B8E"/>
    <w:rsid w:val="00E57FBD"/>
    <w:rsid w:val="00E60696"/>
    <w:rsid w:val="00E62B66"/>
    <w:rsid w:val="00E66633"/>
    <w:rsid w:val="00E73C0E"/>
    <w:rsid w:val="00E77674"/>
    <w:rsid w:val="00E77711"/>
    <w:rsid w:val="00E8389E"/>
    <w:rsid w:val="00E90E9B"/>
    <w:rsid w:val="00E92F85"/>
    <w:rsid w:val="00E94794"/>
    <w:rsid w:val="00EA4CD0"/>
    <w:rsid w:val="00EA7316"/>
    <w:rsid w:val="00EB5324"/>
    <w:rsid w:val="00EB59EB"/>
    <w:rsid w:val="00EB6F9E"/>
    <w:rsid w:val="00EC16DD"/>
    <w:rsid w:val="00EC4E49"/>
    <w:rsid w:val="00ED107A"/>
    <w:rsid w:val="00ED5DCD"/>
    <w:rsid w:val="00EE14B0"/>
    <w:rsid w:val="00F00734"/>
    <w:rsid w:val="00F02947"/>
    <w:rsid w:val="00F03D01"/>
    <w:rsid w:val="00F03E6D"/>
    <w:rsid w:val="00F0628B"/>
    <w:rsid w:val="00F07509"/>
    <w:rsid w:val="00F10CB8"/>
    <w:rsid w:val="00F14E72"/>
    <w:rsid w:val="00F20556"/>
    <w:rsid w:val="00F223DA"/>
    <w:rsid w:val="00F230BB"/>
    <w:rsid w:val="00F257B3"/>
    <w:rsid w:val="00F307DD"/>
    <w:rsid w:val="00F30F5B"/>
    <w:rsid w:val="00F351A1"/>
    <w:rsid w:val="00F35405"/>
    <w:rsid w:val="00F35B25"/>
    <w:rsid w:val="00F3792A"/>
    <w:rsid w:val="00F4466E"/>
    <w:rsid w:val="00F47589"/>
    <w:rsid w:val="00F51BC1"/>
    <w:rsid w:val="00F55462"/>
    <w:rsid w:val="00F555D8"/>
    <w:rsid w:val="00F60627"/>
    <w:rsid w:val="00F63285"/>
    <w:rsid w:val="00F64C44"/>
    <w:rsid w:val="00F6594A"/>
    <w:rsid w:val="00F66F3F"/>
    <w:rsid w:val="00F70D7A"/>
    <w:rsid w:val="00F70F63"/>
    <w:rsid w:val="00F72464"/>
    <w:rsid w:val="00F7562D"/>
    <w:rsid w:val="00F80286"/>
    <w:rsid w:val="00F82AE1"/>
    <w:rsid w:val="00F83CBD"/>
    <w:rsid w:val="00F85D29"/>
    <w:rsid w:val="00F87E42"/>
    <w:rsid w:val="00F94BF7"/>
    <w:rsid w:val="00FA2815"/>
    <w:rsid w:val="00FB533A"/>
    <w:rsid w:val="00FB5A96"/>
    <w:rsid w:val="00FC129C"/>
    <w:rsid w:val="00FC2C43"/>
    <w:rsid w:val="00FC3735"/>
    <w:rsid w:val="00FD15E0"/>
    <w:rsid w:val="00FD684B"/>
    <w:rsid w:val="00FD7BF9"/>
    <w:rsid w:val="00FE2174"/>
    <w:rsid w:val="00FE252F"/>
    <w:rsid w:val="00FF1510"/>
    <w:rsid w:val="00FF246C"/>
    <w:rsid w:val="00FF3230"/>
    <w:rsid w:val="00FF3506"/>
    <w:rsid w:val="00FF3618"/>
    <w:rsid w:val="00FF3861"/>
    <w:rsid w:val="00FF735C"/>
    <w:rsid w:val="0566578A"/>
    <w:rsid w:val="05684A76"/>
    <w:rsid w:val="088272FC"/>
    <w:rsid w:val="14214766"/>
    <w:rsid w:val="1C9B2019"/>
    <w:rsid w:val="1FA10197"/>
    <w:rsid w:val="1FB01D50"/>
    <w:rsid w:val="24FC43C0"/>
    <w:rsid w:val="352670DE"/>
    <w:rsid w:val="363C5C09"/>
    <w:rsid w:val="36FF4EBA"/>
    <w:rsid w:val="37B1E1CF"/>
    <w:rsid w:val="37F214F9"/>
    <w:rsid w:val="3ACE48DE"/>
    <w:rsid w:val="3B9D45E3"/>
    <w:rsid w:val="3FDE3F04"/>
    <w:rsid w:val="3FE18040"/>
    <w:rsid w:val="4951173E"/>
    <w:rsid w:val="4B943670"/>
    <w:rsid w:val="50A40E94"/>
    <w:rsid w:val="59FD6FC8"/>
    <w:rsid w:val="5DF76918"/>
    <w:rsid w:val="5E47A129"/>
    <w:rsid w:val="5F3EB5B4"/>
    <w:rsid w:val="607C4DC2"/>
    <w:rsid w:val="60BE3AEB"/>
    <w:rsid w:val="60F57597"/>
    <w:rsid w:val="63912BF8"/>
    <w:rsid w:val="63F84341"/>
    <w:rsid w:val="6487A4F1"/>
    <w:rsid w:val="64D06F3E"/>
    <w:rsid w:val="68464288"/>
    <w:rsid w:val="6A7F0ACD"/>
    <w:rsid w:val="6BC674B7"/>
    <w:rsid w:val="6D7A6D2D"/>
    <w:rsid w:val="6F544D29"/>
    <w:rsid w:val="6F9B594F"/>
    <w:rsid w:val="6FFBEE0E"/>
    <w:rsid w:val="72870B71"/>
    <w:rsid w:val="74B133C4"/>
    <w:rsid w:val="76465952"/>
    <w:rsid w:val="767E6B51"/>
    <w:rsid w:val="7B7EEAF6"/>
    <w:rsid w:val="7B95E209"/>
    <w:rsid w:val="7BEDE56D"/>
    <w:rsid w:val="7BFF5399"/>
    <w:rsid w:val="7CFD2740"/>
    <w:rsid w:val="7D0F532E"/>
    <w:rsid w:val="7DE22DC6"/>
    <w:rsid w:val="7E6B08E4"/>
    <w:rsid w:val="7E6DBCF8"/>
    <w:rsid w:val="7EB992A3"/>
    <w:rsid w:val="7F3CC8AE"/>
    <w:rsid w:val="7FBF9499"/>
    <w:rsid w:val="7FDF7052"/>
    <w:rsid w:val="7FF71D3B"/>
    <w:rsid w:val="7FF7E0DE"/>
    <w:rsid w:val="7FF7FF46"/>
    <w:rsid w:val="7FFFEBFC"/>
    <w:rsid w:val="9E7F9BF2"/>
    <w:rsid w:val="9FDF56F7"/>
    <w:rsid w:val="ABFF6B2A"/>
    <w:rsid w:val="AFFEFB26"/>
    <w:rsid w:val="BA6F3D59"/>
    <w:rsid w:val="BA7FBC31"/>
    <w:rsid w:val="BB791008"/>
    <w:rsid w:val="BBCF94A3"/>
    <w:rsid w:val="BCF7CA14"/>
    <w:rsid w:val="BDA6E14B"/>
    <w:rsid w:val="BEF7B0E0"/>
    <w:rsid w:val="BFFFC9CC"/>
    <w:rsid w:val="CF3FC091"/>
    <w:rsid w:val="D5FEFD04"/>
    <w:rsid w:val="DC3F3C63"/>
    <w:rsid w:val="DF798217"/>
    <w:rsid w:val="DFF7290C"/>
    <w:rsid w:val="DFFD1E59"/>
    <w:rsid w:val="E5675A1D"/>
    <w:rsid w:val="E8779369"/>
    <w:rsid w:val="EBF6DFAD"/>
    <w:rsid w:val="EBFF5783"/>
    <w:rsid w:val="EDB635BA"/>
    <w:rsid w:val="EFF80878"/>
    <w:rsid w:val="EFFFF963"/>
    <w:rsid w:val="F73E7198"/>
    <w:rsid w:val="F8F790C3"/>
    <w:rsid w:val="F9ADE03D"/>
    <w:rsid w:val="F9F95AAA"/>
    <w:rsid w:val="F9FFD310"/>
    <w:rsid w:val="FCC30C0E"/>
    <w:rsid w:val="FD567C13"/>
    <w:rsid w:val="FD731035"/>
    <w:rsid w:val="FDED24E2"/>
    <w:rsid w:val="FDFF81D6"/>
    <w:rsid w:val="FF7F885B"/>
    <w:rsid w:val="FFA04DE6"/>
    <w:rsid w:val="FFB7C6FB"/>
    <w:rsid w:val="FFD7D486"/>
    <w:rsid w:val="FFD9B253"/>
    <w:rsid w:val="FFF1E56B"/>
    <w:rsid w:val="FFF25D95"/>
    <w:rsid w:val="FFF799B3"/>
    <w:rsid w:val="FFFFF4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9"/>
    <w:qFormat/>
    <w:uiPriority w:val="0"/>
    <w:pPr>
      <w:keepNext/>
      <w:keepLines/>
      <w:outlineLvl w:val="0"/>
    </w:pPr>
    <w:rPr>
      <w:b/>
      <w:bCs/>
      <w:kern w:val="44"/>
      <w:szCs w:val="44"/>
    </w:rPr>
  </w:style>
  <w:style w:type="paragraph" w:styleId="3">
    <w:name w:val="heading 2"/>
    <w:basedOn w:val="1"/>
    <w:next w:val="1"/>
    <w:link w:val="40"/>
    <w:qFormat/>
    <w:uiPriority w:val="0"/>
    <w:pPr>
      <w:keepNext/>
      <w:keepLines/>
      <w:outlineLvl w:val="1"/>
    </w:pPr>
    <w:rPr>
      <w:rFonts w:ascii="Arial" w:hAnsi="Arial"/>
      <w:b/>
      <w:bCs/>
      <w:szCs w:val="32"/>
    </w:rPr>
  </w:style>
  <w:style w:type="paragraph" w:styleId="4">
    <w:name w:val="heading 3"/>
    <w:basedOn w:val="1"/>
    <w:next w:val="1"/>
    <w:qFormat/>
    <w:uiPriority w:val="0"/>
    <w:pPr>
      <w:keepNext/>
      <w:keepLines/>
      <w:outlineLvl w:val="2"/>
    </w:pPr>
    <w:rPr>
      <w:b/>
      <w:bCs/>
      <w:szCs w:val="32"/>
    </w:rPr>
  </w:style>
  <w:style w:type="paragraph" w:styleId="5">
    <w:name w:val="heading 4"/>
    <w:basedOn w:val="1"/>
    <w:next w:val="1"/>
    <w:qFormat/>
    <w:uiPriority w:val="0"/>
    <w:pPr>
      <w:keepNext/>
      <w:keepLines/>
      <w:outlineLvl w:val="3"/>
    </w:pPr>
    <w:rPr>
      <w:rFonts w:ascii="Arial" w:hAnsi="Arial"/>
      <w:b/>
      <w:bCs/>
      <w:szCs w:val="28"/>
    </w:rPr>
  </w:style>
  <w:style w:type="paragraph" w:styleId="6">
    <w:name w:val="heading 5"/>
    <w:basedOn w:val="1"/>
    <w:next w:val="1"/>
    <w:qFormat/>
    <w:uiPriority w:val="0"/>
    <w:pPr>
      <w:keepNext/>
      <w:keepLines/>
      <w:outlineLvl w:val="4"/>
    </w:pPr>
    <w:rPr>
      <w:b/>
      <w:bCs/>
      <w:szCs w:val="28"/>
    </w:rPr>
  </w:style>
  <w:style w:type="paragraph" w:styleId="7">
    <w:name w:val="heading 6"/>
    <w:basedOn w:val="1"/>
    <w:next w:val="1"/>
    <w:qFormat/>
    <w:uiPriority w:val="0"/>
    <w:pPr>
      <w:keepNext/>
      <w:keepLines/>
      <w:outlineLvl w:val="5"/>
    </w:pPr>
    <w:rPr>
      <w:rFonts w:ascii="Arial" w:hAnsi="Arial"/>
      <w:b/>
      <w:bCs/>
    </w:rPr>
  </w:style>
  <w:style w:type="character" w:default="1" w:styleId="21">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33"/>
    <w:unhideWhenUsed/>
    <w:qFormat/>
    <w:uiPriority w:val="0"/>
    <w:pPr>
      <w:jc w:val="left"/>
    </w:pPr>
  </w:style>
  <w:style w:type="paragraph" w:styleId="9">
    <w:name w:val="Body Text"/>
    <w:basedOn w:val="1"/>
    <w:link w:val="36"/>
    <w:qFormat/>
    <w:uiPriority w:val="99"/>
    <w:pPr>
      <w:spacing w:before="45" w:line="240" w:lineRule="auto"/>
      <w:ind w:left="115"/>
      <w:jc w:val="left"/>
    </w:pPr>
    <w:rPr>
      <w:rFonts w:ascii="宋体" w:hAnsi="宋体" w:cstheme="minorBidi"/>
      <w:kern w:val="0"/>
      <w:sz w:val="30"/>
      <w:szCs w:val="30"/>
      <w:lang w:eastAsia="en-US"/>
    </w:rPr>
  </w:style>
  <w:style w:type="paragraph" w:styleId="10">
    <w:name w:val="toc 3"/>
    <w:basedOn w:val="1"/>
    <w:next w:val="1"/>
    <w:unhideWhenUsed/>
    <w:qFormat/>
    <w:uiPriority w:val="39"/>
    <w:pPr>
      <w:ind w:left="840" w:leftChars="400"/>
    </w:pPr>
  </w:style>
  <w:style w:type="paragraph" w:styleId="11">
    <w:name w:val="Plain Text"/>
    <w:basedOn w:val="1"/>
    <w:qFormat/>
    <w:uiPriority w:val="99"/>
    <w:rPr>
      <w:rFonts w:ascii="宋体" w:hAnsi="Courier New"/>
      <w:kern w:val="0"/>
      <w:sz w:val="20"/>
      <w:szCs w:val="21"/>
    </w:rPr>
  </w:style>
  <w:style w:type="paragraph" w:styleId="12">
    <w:name w:val="Balloon Text"/>
    <w:basedOn w:val="1"/>
    <w:link w:val="28"/>
    <w:qFormat/>
    <w:uiPriority w:val="0"/>
    <w:pPr>
      <w:spacing w:line="240" w:lineRule="auto"/>
    </w:pPr>
    <w:rPr>
      <w:sz w:val="18"/>
      <w:szCs w:val="18"/>
    </w:rPr>
  </w:style>
  <w:style w:type="paragraph" w:styleId="13">
    <w:name w:val="footer"/>
    <w:basedOn w:val="1"/>
    <w:link w:val="27"/>
    <w:qFormat/>
    <w:uiPriority w:val="99"/>
    <w:pPr>
      <w:tabs>
        <w:tab w:val="center" w:pos="4153"/>
        <w:tab w:val="right" w:pos="8306"/>
      </w:tabs>
      <w:snapToGrid w:val="0"/>
      <w:spacing w:line="240" w:lineRule="auto"/>
      <w:jc w:val="left"/>
    </w:pPr>
    <w:rPr>
      <w:sz w:val="18"/>
      <w:szCs w:val="18"/>
    </w:rPr>
  </w:style>
  <w:style w:type="paragraph" w:styleId="14">
    <w:name w:val="header"/>
    <w:basedOn w:val="1"/>
    <w:link w:val="26"/>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tabs>
        <w:tab w:val="right" w:leader="dot" w:pos="9060"/>
      </w:tabs>
    </w:pPr>
    <w:rPr>
      <w:rFonts w:ascii="微软雅黑" w:hAnsi="微软雅黑"/>
    </w:rPr>
  </w:style>
  <w:style w:type="paragraph" w:styleId="16">
    <w:name w:val="toc 2"/>
    <w:basedOn w:val="1"/>
    <w:next w:val="1"/>
    <w:unhideWhenUsed/>
    <w:qFormat/>
    <w:uiPriority w:val="39"/>
    <w:pPr>
      <w:ind w:left="420" w:leftChars="200"/>
    </w:pPr>
  </w:style>
  <w:style w:type="paragraph" w:styleId="17">
    <w:name w:val="Normal (Web)"/>
    <w:basedOn w:val="1"/>
    <w:semiHidden/>
    <w:unhideWhenUsed/>
    <w:qFormat/>
    <w:uiPriority w:val="0"/>
  </w:style>
  <w:style w:type="paragraph" w:styleId="18">
    <w:name w:val="annotation subject"/>
    <w:basedOn w:val="8"/>
    <w:next w:val="8"/>
    <w:link w:val="34"/>
    <w:semiHidden/>
    <w:unhideWhenUsed/>
    <w:qFormat/>
    <w:uiPriority w:val="0"/>
    <w:rPr>
      <w:b/>
      <w:bCs/>
    </w:rPr>
  </w:style>
  <w:style w:type="table" w:styleId="20">
    <w:name w:val="Table Grid"/>
    <w:basedOn w:val="19"/>
    <w:qFormat/>
    <w:uiPriority w:val="39"/>
    <w:rPr>
      <w:rFonts w:asciiTheme="minorHAnsi" w:hAnsiTheme="minorHAnsi" w:eastAsiaTheme="minorEastAsia" w:cstheme="minorBidi"/>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style>
  <w:style w:type="character" w:styleId="23">
    <w:name w:val="FollowedHyperlink"/>
    <w:basedOn w:val="21"/>
    <w:semiHidden/>
    <w:unhideWhenUsed/>
    <w:qFormat/>
    <w:uiPriority w:val="99"/>
    <w:rPr>
      <w:color w:val="954F72"/>
      <w:u w:val="single"/>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unhideWhenUsed/>
    <w:qFormat/>
    <w:uiPriority w:val="0"/>
    <w:rPr>
      <w:sz w:val="21"/>
      <w:szCs w:val="21"/>
    </w:rPr>
  </w:style>
  <w:style w:type="character" w:customStyle="1" w:styleId="26">
    <w:name w:val="页眉 字符"/>
    <w:link w:val="14"/>
    <w:qFormat/>
    <w:uiPriority w:val="0"/>
    <w:rPr>
      <w:rFonts w:eastAsia="微软雅黑"/>
      <w:kern w:val="2"/>
      <w:sz w:val="18"/>
      <w:szCs w:val="18"/>
    </w:rPr>
  </w:style>
  <w:style w:type="character" w:customStyle="1" w:styleId="27">
    <w:name w:val="页脚 字符"/>
    <w:link w:val="13"/>
    <w:qFormat/>
    <w:uiPriority w:val="99"/>
    <w:rPr>
      <w:rFonts w:eastAsia="微软雅黑"/>
      <w:kern w:val="2"/>
      <w:sz w:val="18"/>
      <w:szCs w:val="18"/>
    </w:rPr>
  </w:style>
  <w:style w:type="character" w:customStyle="1" w:styleId="28">
    <w:name w:val="批注框文本 字符"/>
    <w:link w:val="12"/>
    <w:qFormat/>
    <w:uiPriority w:val="0"/>
    <w:rPr>
      <w:rFonts w:eastAsia="微软雅黑"/>
      <w:kern w:val="2"/>
      <w:sz w:val="18"/>
      <w:szCs w:val="18"/>
    </w:rPr>
  </w:style>
  <w:style w:type="paragraph" w:customStyle="1" w:styleId="29">
    <w:name w:val="Table Paragraph"/>
    <w:basedOn w:val="1"/>
    <w:unhideWhenUsed/>
    <w:qFormat/>
    <w:uiPriority w:val="1"/>
    <w:pPr>
      <w:spacing w:line="240" w:lineRule="auto"/>
    </w:pPr>
    <w:rPr>
      <w:rFonts w:asciiTheme="minorHAnsi" w:hAnsiTheme="minorHAnsi" w:eastAsiaTheme="minorEastAsia" w:cstheme="minorBidi"/>
      <w:szCs w:val="20"/>
    </w:rPr>
  </w:style>
  <w:style w:type="paragraph" w:styleId="30">
    <w:name w:val="List Paragraph"/>
    <w:basedOn w:val="1"/>
    <w:link w:val="41"/>
    <w:qFormat/>
    <w:uiPriority w:val="99"/>
    <w:pPr>
      <w:spacing w:line="240" w:lineRule="auto"/>
      <w:ind w:firstLine="420" w:firstLineChars="200"/>
    </w:pPr>
    <w:rPr>
      <w:rFonts w:asciiTheme="minorHAnsi" w:hAnsiTheme="minorHAnsi" w:eastAsiaTheme="minorEastAsia" w:cstheme="minorBidi"/>
    </w:rPr>
  </w:style>
  <w:style w:type="paragraph" w:customStyle="1" w:styleId="3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table" w:customStyle="1" w:styleId="32">
    <w:name w:val="网格表 2 - 着色 51"/>
    <w:basedOn w:val="19"/>
    <w:qFormat/>
    <w:uiPriority w:val="47"/>
    <w:rPr>
      <w:rFonts w:asciiTheme="minorHAnsi" w:hAnsiTheme="minorHAnsi" w:eastAsiaTheme="minorEastAsia" w:cstheme="minorBidi"/>
      <w:kern w:val="2"/>
      <w:sz w:val="24"/>
      <w:szCs w:val="24"/>
    </w:rPr>
    <w:tblPr>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cPr>
        <w:tcBorders>
          <w:top w:val="nil"/>
          <w:bottom w:val="single" w:color="92CDDC" w:themeColor="accent5" w:themeTint="99" w:sz="12" w:space="0"/>
          <w:insideH w:val="nil"/>
          <w:insideV w:val="nil"/>
        </w:tcBorders>
        <w:shd w:val="clear" w:color="auto" w:fill="FFFFFF" w:themeFill="background1"/>
      </w:tcPr>
    </w:tblStylePr>
    <w:tblStylePr w:type="lastRow">
      <w:rPr>
        <w:b/>
        <w:bCs/>
      </w:r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character" w:customStyle="1" w:styleId="33">
    <w:name w:val="批注文字 字符"/>
    <w:basedOn w:val="21"/>
    <w:link w:val="8"/>
    <w:qFormat/>
    <w:uiPriority w:val="0"/>
    <w:rPr>
      <w:rFonts w:eastAsia="微软雅黑"/>
      <w:kern w:val="2"/>
      <w:sz w:val="24"/>
      <w:szCs w:val="24"/>
    </w:rPr>
  </w:style>
  <w:style w:type="character" w:customStyle="1" w:styleId="34">
    <w:name w:val="批注主题 字符"/>
    <w:basedOn w:val="33"/>
    <w:link w:val="18"/>
    <w:semiHidden/>
    <w:qFormat/>
    <w:uiPriority w:val="0"/>
    <w:rPr>
      <w:rFonts w:eastAsia="微软雅黑"/>
      <w:b/>
      <w:bCs/>
      <w:kern w:val="2"/>
      <w:sz w:val="24"/>
      <w:szCs w:val="24"/>
    </w:rPr>
  </w:style>
  <w:style w:type="paragraph" w:customStyle="1" w:styleId="35">
    <w:name w:val="修订1"/>
    <w:hidden/>
    <w:semiHidden/>
    <w:qFormat/>
    <w:uiPriority w:val="99"/>
    <w:rPr>
      <w:rFonts w:ascii="Times New Roman" w:hAnsi="Times New Roman" w:eastAsia="微软雅黑" w:cs="Times New Roman"/>
      <w:kern w:val="2"/>
      <w:sz w:val="24"/>
      <w:szCs w:val="24"/>
      <w:lang w:val="en-US" w:eastAsia="zh-CN" w:bidi="ar-SA"/>
    </w:rPr>
  </w:style>
  <w:style w:type="character" w:customStyle="1" w:styleId="36">
    <w:name w:val="正文文本 字符"/>
    <w:basedOn w:val="21"/>
    <w:link w:val="9"/>
    <w:qFormat/>
    <w:uiPriority w:val="99"/>
    <w:rPr>
      <w:rFonts w:ascii="宋体" w:hAnsi="宋体" w:cstheme="minorBidi"/>
      <w:sz w:val="30"/>
      <w:szCs w:val="30"/>
      <w:lang w:eastAsia="en-US"/>
    </w:rPr>
  </w:style>
  <w:style w:type="paragraph" w:customStyle="1" w:styleId="37">
    <w:name w:val="_正文样式"/>
    <w:basedOn w:val="1"/>
    <w:link w:val="38"/>
    <w:qFormat/>
    <w:uiPriority w:val="0"/>
    <w:pPr>
      <w:ind w:firstLine="480" w:firstLineChars="200"/>
    </w:pPr>
    <w:rPr>
      <w:rFonts w:eastAsia="仿宋" w:asciiTheme="minorHAnsi" w:hAnsiTheme="minorHAnsi" w:cstheme="minorBidi"/>
      <w:szCs w:val="22"/>
    </w:rPr>
  </w:style>
  <w:style w:type="character" w:customStyle="1" w:styleId="38">
    <w:name w:val="_正文样式 字符"/>
    <w:basedOn w:val="21"/>
    <w:link w:val="37"/>
    <w:qFormat/>
    <w:uiPriority w:val="0"/>
    <w:rPr>
      <w:rFonts w:eastAsia="仿宋" w:asciiTheme="minorHAnsi" w:hAnsiTheme="minorHAnsi" w:cstheme="minorBidi"/>
      <w:kern w:val="2"/>
      <w:sz w:val="24"/>
      <w:szCs w:val="22"/>
    </w:rPr>
  </w:style>
  <w:style w:type="character" w:customStyle="1" w:styleId="39">
    <w:name w:val="标题 1 字符"/>
    <w:basedOn w:val="21"/>
    <w:link w:val="2"/>
    <w:qFormat/>
    <w:uiPriority w:val="0"/>
    <w:rPr>
      <w:rFonts w:eastAsia="楷体"/>
      <w:b/>
      <w:bCs/>
      <w:kern w:val="44"/>
      <w:sz w:val="24"/>
      <w:szCs w:val="44"/>
    </w:rPr>
  </w:style>
  <w:style w:type="character" w:customStyle="1" w:styleId="40">
    <w:name w:val="标题 2 字符"/>
    <w:basedOn w:val="21"/>
    <w:link w:val="3"/>
    <w:qFormat/>
    <w:uiPriority w:val="0"/>
    <w:rPr>
      <w:rFonts w:ascii="Arial" w:hAnsi="Arial" w:eastAsia="楷体"/>
      <w:b/>
      <w:bCs/>
      <w:kern w:val="2"/>
      <w:sz w:val="24"/>
      <w:szCs w:val="32"/>
    </w:rPr>
  </w:style>
  <w:style w:type="character" w:customStyle="1" w:styleId="41">
    <w:name w:val="列表段落 字符"/>
    <w:link w:val="30"/>
    <w:qFormat/>
    <w:uiPriority w:val="99"/>
    <w:rPr>
      <w:rFonts w:asciiTheme="minorHAnsi" w:hAnsiTheme="minorHAnsi" w:eastAsiaTheme="minorEastAsia" w:cstheme="minorBidi"/>
      <w:kern w:val="2"/>
      <w:sz w:val="24"/>
      <w:szCs w:val="24"/>
    </w:rPr>
  </w:style>
  <w:style w:type="paragraph" w:customStyle="1" w:styleId="42">
    <w:name w:val="msonormal"/>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43">
    <w:name w:val="font5"/>
    <w:basedOn w:val="1"/>
    <w:qFormat/>
    <w:uiPriority w:val="0"/>
    <w:pPr>
      <w:widowControl/>
      <w:spacing w:before="100" w:beforeAutospacing="1" w:after="100" w:afterAutospacing="1" w:line="240" w:lineRule="auto"/>
      <w:jc w:val="left"/>
    </w:pPr>
    <w:rPr>
      <w:rFonts w:ascii="等线" w:hAnsi="等线" w:eastAsia="等线" w:cs="宋体"/>
      <w:kern w:val="0"/>
      <w:sz w:val="18"/>
      <w:szCs w:val="18"/>
    </w:rPr>
  </w:style>
  <w:style w:type="paragraph" w:customStyle="1" w:styleId="44">
    <w:name w:val="font6"/>
    <w:basedOn w:val="1"/>
    <w:qFormat/>
    <w:uiPriority w:val="0"/>
    <w:pPr>
      <w:widowControl/>
      <w:spacing w:before="100" w:beforeAutospacing="1" w:after="100" w:afterAutospacing="1" w:line="240" w:lineRule="auto"/>
      <w:jc w:val="left"/>
    </w:pPr>
    <w:rPr>
      <w:rFonts w:ascii="宋体" w:hAnsi="宋体" w:cs="宋体"/>
      <w:color w:val="FF0000"/>
      <w:kern w:val="0"/>
    </w:rPr>
  </w:style>
  <w:style w:type="paragraph" w:customStyle="1" w:styleId="45">
    <w:name w:val="font7"/>
    <w:basedOn w:val="1"/>
    <w:qFormat/>
    <w:uiPriority w:val="0"/>
    <w:pPr>
      <w:widowControl/>
      <w:spacing w:before="100" w:beforeAutospacing="1" w:after="100" w:afterAutospacing="1" w:line="240" w:lineRule="auto"/>
      <w:jc w:val="left"/>
    </w:pPr>
    <w:rPr>
      <w:rFonts w:ascii="宋体" w:hAnsi="宋体" w:cs="宋体"/>
      <w:color w:val="000000"/>
      <w:kern w:val="0"/>
    </w:rPr>
  </w:style>
  <w:style w:type="paragraph" w:customStyle="1" w:styleId="46">
    <w:name w:val="font8"/>
    <w:basedOn w:val="1"/>
    <w:qFormat/>
    <w:uiPriority w:val="0"/>
    <w:pPr>
      <w:widowControl/>
      <w:spacing w:before="100" w:beforeAutospacing="1" w:after="100" w:afterAutospacing="1" w:line="240" w:lineRule="auto"/>
      <w:jc w:val="left"/>
    </w:pPr>
    <w:rPr>
      <w:color w:val="000000"/>
      <w:kern w:val="0"/>
    </w:rPr>
  </w:style>
  <w:style w:type="paragraph" w:customStyle="1" w:styleId="47">
    <w:name w:val="font9"/>
    <w:basedOn w:val="1"/>
    <w:qFormat/>
    <w:uiPriority w:val="0"/>
    <w:pPr>
      <w:widowControl/>
      <w:spacing w:before="100" w:beforeAutospacing="1" w:after="100" w:afterAutospacing="1" w:line="240" w:lineRule="auto"/>
      <w:jc w:val="left"/>
    </w:pPr>
    <w:rPr>
      <w:rFonts w:ascii="宋体" w:hAnsi="宋体" w:cs="宋体"/>
      <w:color w:val="000000"/>
      <w:kern w:val="0"/>
    </w:rPr>
  </w:style>
  <w:style w:type="paragraph" w:customStyle="1" w:styleId="48">
    <w:name w:val="font10"/>
    <w:basedOn w:val="1"/>
    <w:qFormat/>
    <w:uiPriority w:val="0"/>
    <w:pPr>
      <w:widowControl/>
      <w:spacing w:before="100" w:beforeAutospacing="1" w:after="100" w:afterAutospacing="1" w:line="240" w:lineRule="auto"/>
      <w:jc w:val="left"/>
    </w:pPr>
    <w:rPr>
      <w:color w:val="000000"/>
      <w:kern w:val="0"/>
      <w:sz w:val="21"/>
      <w:szCs w:val="21"/>
    </w:rPr>
  </w:style>
  <w:style w:type="paragraph" w:customStyle="1" w:styleId="49">
    <w:name w:val="font11"/>
    <w:basedOn w:val="1"/>
    <w:qFormat/>
    <w:uiPriority w:val="0"/>
    <w:pPr>
      <w:widowControl/>
      <w:spacing w:before="100" w:beforeAutospacing="1" w:after="100" w:afterAutospacing="1" w:line="240" w:lineRule="auto"/>
      <w:jc w:val="left"/>
    </w:pPr>
    <w:rPr>
      <w:color w:val="000000"/>
      <w:kern w:val="0"/>
      <w:sz w:val="14"/>
      <w:szCs w:val="14"/>
    </w:rPr>
  </w:style>
  <w:style w:type="paragraph" w:customStyle="1" w:styleId="50">
    <w:name w:val="font12"/>
    <w:basedOn w:val="1"/>
    <w:qFormat/>
    <w:uiPriority w:val="0"/>
    <w:pPr>
      <w:widowControl/>
      <w:spacing w:before="100" w:beforeAutospacing="1" w:after="100" w:afterAutospacing="1" w:line="240" w:lineRule="auto"/>
      <w:jc w:val="left"/>
    </w:pPr>
    <w:rPr>
      <w:color w:val="000000"/>
      <w:kern w:val="0"/>
      <w:sz w:val="14"/>
      <w:szCs w:val="14"/>
    </w:rPr>
  </w:style>
  <w:style w:type="paragraph" w:customStyle="1" w:styleId="51">
    <w:name w:val="font13"/>
    <w:basedOn w:val="1"/>
    <w:qFormat/>
    <w:uiPriority w:val="0"/>
    <w:pPr>
      <w:widowControl/>
      <w:spacing w:before="100" w:beforeAutospacing="1" w:after="100" w:afterAutospacing="1" w:line="240" w:lineRule="auto"/>
      <w:jc w:val="left"/>
    </w:pPr>
    <w:rPr>
      <w:rFonts w:ascii="宋体" w:hAnsi="宋体" w:cs="宋体"/>
      <w:color w:val="4472C4"/>
      <w:kern w:val="0"/>
    </w:rPr>
  </w:style>
  <w:style w:type="paragraph" w:customStyle="1" w:styleId="52">
    <w:name w:val="font14"/>
    <w:basedOn w:val="1"/>
    <w:qFormat/>
    <w:uiPriority w:val="0"/>
    <w:pPr>
      <w:widowControl/>
      <w:spacing w:before="100" w:beforeAutospacing="1" w:after="100" w:afterAutospacing="1" w:line="240" w:lineRule="auto"/>
      <w:jc w:val="left"/>
    </w:pPr>
    <w:rPr>
      <w:rFonts w:ascii="宋体" w:hAnsi="宋体" w:cs="宋体"/>
      <w:color w:val="000000"/>
      <w:kern w:val="0"/>
      <w:sz w:val="21"/>
      <w:szCs w:val="21"/>
    </w:rPr>
  </w:style>
  <w:style w:type="paragraph" w:customStyle="1" w:styleId="53">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宋体" w:hAnsi="宋体" w:cs="宋体"/>
      <w:b/>
      <w:bCs/>
      <w:color w:val="000000"/>
      <w:kern w:val="0"/>
    </w:rPr>
  </w:style>
  <w:style w:type="paragraph" w:customStyle="1" w:styleId="54">
    <w:name w:val="xl66"/>
    <w:basedOn w:val="1"/>
    <w:qFormat/>
    <w:uiPriority w:val="0"/>
    <w:pPr>
      <w:widowControl/>
      <w:pBdr>
        <w:top w:val="single" w:color="auto" w:sz="8" w:space="0"/>
        <w:bottom w:val="single" w:color="auto" w:sz="8" w:space="0"/>
        <w:right w:val="single" w:color="auto" w:sz="8" w:space="0"/>
      </w:pBdr>
      <w:spacing w:before="100" w:beforeAutospacing="1" w:after="100" w:afterAutospacing="1" w:line="240" w:lineRule="auto"/>
      <w:jc w:val="center"/>
    </w:pPr>
    <w:rPr>
      <w:rFonts w:ascii="宋体" w:hAnsi="宋体" w:cs="宋体"/>
      <w:b/>
      <w:bCs/>
      <w:color w:val="000000"/>
      <w:kern w:val="0"/>
    </w:rPr>
  </w:style>
  <w:style w:type="paragraph" w:customStyle="1" w:styleId="55">
    <w:name w:val="xl67"/>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cs="宋体"/>
      <w:color w:val="000000"/>
      <w:kern w:val="0"/>
    </w:rPr>
  </w:style>
  <w:style w:type="paragraph" w:customStyle="1" w:styleId="56">
    <w:name w:val="xl68"/>
    <w:basedOn w:val="1"/>
    <w:qFormat/>
    <w:uiPriority w:val="0"/>
    <w:pPr>
      <w:widowControl/>
      <w:pBdr>
        <w:bottom w:val="single" w:color="auto" w:sz="8" w:space="0"/>
        <w:right w:val="single" w:color="auto" w:sz="8" w:space="0"/>
      </w:pBdr>
      <w:spacing w:before="100" w:beforeAutospacing="1" w:after="100" w:afterAutospacing="1" w:line="240" w:lineRule="auto"/>
      <w:jc w:val="left"/>
    </w:pPr>
    <w:rPr>
      <w:rFonts w:ascii="宋体" w:hAnsi="宋体" w:cs="宋体"/>
      <w:color w:val="000000"/>
      <w:kern w:val="0"/>
    </w:rPr>
  </w:style>
  <w:style w:type="paragraph" w:customStyle="1" w:styleId="57">
    <w:name w:val="xl69"/>
    <w:basedOn w:val="1"/>
    <w:qFormat/>
    <w:uiPriority w:val="0"/>
    <w:pPr>
      <w:widowControl/>
      <w:pBdr>
        <w:right w:val="single" w:color="auto" w:sz="8" w:space="0"/>
      </w:pBdr>
      <w:spacing w:before="100" w:beforeAutospacing="1" w:after="100" w:afterAutospacing="1" w:line="240" w:lineRule="auto"/>
      <w:jc w:val="left"/>
    </w:pPr>
    <w:rPr>
      <w:rFonts w:ascii="宋体" w:hAnsi="宋体" w:cs="宋体"/>
      <w:color w:val="000000"/>
      <w:kern w:val="0"/>
    </w:rPr>
  </w:style>
  <w:style w:type="paragraph" w:customStyle="1" w:styleId="58">
    <w:name w:val="xl70"/>
    <w:basedOn w:val="1"/>
    <w:qFormat/>
    <w:uiPriority w:val="0"/>
    <w:pPr>
      <w:widowControl/>
      <w:pBdr>
        <w:right w:val="single" w:color="auto" w:sz="8" w:space="0"/>
      </w:pBdr>
      <w:spacing w:before="100" w:beforeAutospacing="1" w:after="100" w:afterAutospacing="1" w:line="240" w:lineRule="auto"/>
      <w:jc w:val="left"/>
    </w:pPr>
    <w:rPr>
      <w:rFonts w:ascii="宋体" w:hAnsi="宋体" w:cs="宋体"/>
      <w:kern w:val="0"/>
    </w:rPr>
  </w:style>
  <w:style w:type="paragraph" w:customStyle="1" w:styleId="59">
    <w:name w:val="xl71"/>
    <w:basedOn w:val="1"/>
    <w:qFormat/>
    <w:uiPriority w:val="0"/>
    <w:pPr>
      <w:widowControl/>
      <w:pBdr>
        <w:right w:val="single" w:color="auto" w:sz="8" w:space="0"/>
      </w:pBdr>
      <w:spacing w:before="100" w:beforeAutospacing="1" w:after="100" w:afterAutospacing="1" w:line="240" w:lineRule="auto"/>
    </w:pPr>
    <w:rPr>
      <w:rFonts w:ascii="宋体" w:hAnsi="宋体" w:cs="宋体"/>
      <w:color w:val="000000"/>
      <w:kern w:val="0"/>
    </w:rPr>
  </w:style>
  <w:style w:type="paragraph" w:customStyle="1" w:styleId="60">
    <w:name w:val="xl72"/>
    <w:basedOn w:val="1"/>
    <w:qFormat/>
    <w:uiPriority w:val="0"/>
    <w:pPr>
      <w:widowControl/>
      <w:pBdr>
        <w:right w:val="single" w:color="auto" w:sz="8" w:space="0"/>
      </w:pBdr>
      <w:spacing w:before="100" w:beforeAutospacing="1" w:after="100" w:afterAutospacing="1" w:line="240" w:lineRule="auto"/>
    </w:pPr>
    <w:rPr>
      <w:rFonts w:ascii="宋体" w:hAnsi="宋体" w:cs="宋体"/>
      <w:kern w:val="0"/>
    </w:rPr>
  </w:style>
  <w:style w:type="paragraph" w:customStyle="1" w:styleId="61">
    <w:name w:val="xl73"/>
    <w:basedOn w:val="1"/>
    <w:qFormat/>
    <w:uiPriority w:val="0"/>
    <w:pPr>
      <w:widowControl/>
      <w:pBdr>
        <w:bottom w:val="single" w:color="auto" w:sz="8" w:space="0"/>
        <w:right w:val="single" w:color="auto" w:sz="8" w:space="0"/>
      </w:pBdr>
      <w:spacing w:before="100" w:beforeAutospacing="1" w:after="100" w:afterAutospacing="1" w:line="240" w:lineRule="auto"/>
    </w:pPr>
    <w:rPr>
      <w:rFonts w:ascii="宋体" w:hAnsi="宋体" w:cs="宋体"/>
      <w:color w:val="000000"/>
      <w:kern w:val="0"/>
    </w:rPr>
  </w:style>
  <w:style w:type="paragraph" w:customStyle="1" w:styleId="62">
    <w:name w:val="xl74"/>
    <w:basedOn w:val="1"/>
    <w:qFormat/>
    <w:uiPriority w:val="0"/>
    <w:pPr>
      <w:widowControl/>
      <w:pBdr>
        <w:bottom w:val="single" w:color="auto" w:sz="8" w:space="0"/>
        <w:right w:val="single" w:color="auto" w:sz="8" w:space="0"/>
      </w:pBdr>
      <w:spacing w:before="100" w:beforeAutospacing="1" w:after="100" w:afterAutospacing="1" w:line="240" w:lineRule="auto"/>
    </w:pPr>
    <w:rPr>
      <w:rFonts w:ascii="宋体" w:hAnsi="宋体" w:cs="宋体"/>
      <w:kern w:val="0"/>
    </w:rPr>
  </w:style>
  <w:style w:type="paragraph" w:customStyle="1" w:styleId="63">
    <w:name w:val="xl75"/>
    <w:basedOn w:val="1"/>
    <w:qFormat/>
    <w:uiPriority w:val="0"/>
    <w:pPr>
      <w:widowControl/>
      <w:pBdr>
        <w:bottom w:val="single" w:color="auto" w:sz="8" w:space="0"/>
        <w:right w:val="single" w:color="auto" w:sz="8" w:space="0"/>
      </w:pBdr>
      <w:spacing w:before="100" w:beforeAutospacing="1" w:after="100" w:afterAutospacing="1" w:line="240" w:lineRule="auto"/>
      <w:jc w:val="left"/>
    </w:pPr>
    <w:rPr>
      <w:rFonts w:ascii="宋体" w:hAnsi="宋体" w:cs="宋体"/>
      <w:kern w:val="0"/>
    </w:rPr>
  </w:style>
  <w:style w:type="paragraph" w:customStyle="1" w:styleId="64">
    <w:name w:val="xl76"/>
    <w:basedOn w:val="1"/>
    <w:qFormat/>
    <w:uiPriority w:val="0"/>
    <w:pPr>
      <w:widowControl/>
      <w:pBdr>
        <w:right w:val="single" w:color="auto" w:sz="8" w:space="0"/>
      </w:pBdr>
      <w:spacing w:before="100" w:beforeAutospacing="1" w:after="100" w:afterAutospacing="1" w:line="240" w:lineRule="auto"/>
      <w:ind w:firstLine="200" w:firstLineChars="200"/>
      <w:jc w:val="left"/>
    </w:pPr>
    <w:rPr>
      <w:rFonts w:ascii="宋体" w:hAnsi="宋体" w:cs="宋体"/>
      <w:color w:val="000000"/>
      <w:kern w:val="0"/>
    </w:rPr>
  </w:style>
  <w:style w:type="paragraph" w:customStyle="1" w:styleId="65">
    <w:name w:val="xl77"/>
    <w:basedOn w:val="1"/>
    <w:qFormat/>
    <w:uiPriority w:val="0"/>
    <w:pPr>
      <w:widowControl/>
      <w:pBdr>
        <w:bottom w:val="single" w:color="auto" w:sz="8" w:space="0"/>
        <w:right w:val="single" w:color="auto" w:sz="8" w:space="0"/>
      </w:pBdr>
      <w:spacing w:before="100" w:beforeAutospacing="1" w:after="100" w:afterAutospacing="1" w:line="240" w:lineRule="auto"/>
      <w:jc w:val="left"/>
    </w:pPr>
    <w:rPr>
      <w:kern w:val="0"/>
      <w:sz w:val="21"/>
      <w:szCs w:val="21"/>
    </w:rPr>
  </w:style>
  <w:style w:type="paragraph" w:customStyle="1" w:styleId="66">
    <w:name w:val="xl78"/>
    <w:basedOn w:val="1"/>
    <w:qFormat/>
    <w:uiPriority w:val="0"/>
    <w:pPr>
      <w:widowControl/>
      <w:pBdr>
        <w:right w:val="single" w:color="auto" w:sz="8" w:space="0"/>
      </w:pBdr>
      <w:spacing w:before="100" w:beforeAutospacing="1" w:after="100" w:afterAutospacing="1" w:line="240" w:lineRule="auto"/>
      <w:ind w:firstLine="200" w:firstLineChars="200"/>
      <w:jc w:val="left"/>
    </w:pPr>
    <w:rPr>
      <w:rFonts w:ascii="宋体" w:hAnsi="宋体" w:cs="宋体"/>
      <w:kern w:val="0"/>
    </w:rPr>
  </w:style>
  <w:style w:type="paragraph" w:customStyle="1" w:styleId="67">
    <w:name w:val="xl79"/>
    <w:basedOn w:val="1"/>
    <w:qFormat/>
    <w:uiPriority w:val="0"/>
    <w:pPr>
      <w:widowControl/>
      <w:pBdr>
        <w:bottom w:val="single" w:color="auto" w:sz="8" w:space="0"/>
        <w:right w:val="single" w:color="auto" w:sz="8" w:space="0"/>
      </w:pBdr>
      <w:spacing w:before="100" w:beforeAutospacing="1" w:after="100" w:afterAutospacing="1" w:line="240" w:lineRule="auto"/>
      <w:ind w:firstLine="200" w:firstLineChars="200"/>
      <w:jc w:val="left"/>
    </w:pPr>
    <w:rPr>
      <w:rFonts w:ascii="宋体" w:hAnsi="宋体" w:cs="宋体"/>
      <w:color w:val="000000"/>
      <w:kern w:val="0"/>
    </w:rPr>
  </w:style>
  <w:style w:type="paragraph" w:customStyle="1" w:styleId="68">
    <w:name w:val="xl80"/>
    <w:basedOn w:val="1"/>
    <w:qFormat/>
    <w:uiPriority w:val="0"/>
    <w:pPr>
      <w:widowControl/>
      <w:pBdr>
        <w:bottom w:val="single" w:color="auto" w:sz="8" w:space="0"/>
        <w:right w:val="single" w:color="auto" w:sz="8" w:space="0"/>
      </w:pBdr>
      <w:spacing w:before="100" w:beforeAutospacing="1" w:after="100" w:afterAutospacing="1" w:line="240" w:lineRule="auto"/>
      <w:ind w:firstLine="200" w:firstLineChars="200"/>
      <w:jc w:val="left"/>
    </w:pPr>
    <w:rPr>
      <w:rFonts w:ascii="宋体" w:hAnsi="宋体" w:cs="宋体"/>
      <w:kern w:val="0"/>
    </w:rPr>
  </w:style>
  <w:style w:type="paragraph" w:customStyle="1" w:styleId="69">
    <w:name w:val="xl81"/>
    <w:basedOn w:val="1"/>
    <w:qFormat/>
    <w:uiPriority w:val="0"/>
    <w:pPr>
      <w:widowControl/>
      <w:pBdr>
        <w:right w:val="single" w:color="auto" w:sz="8" w:space="0"/>
      </w:pBdr>
      <w:spacing w:before="100" w:beforeAutospacing="1" w:after="100" w:afterAutospacing="1" w:line="240" w:lineRule="auto"/>
      <w:jc w:val="left"/>
    </w:pPr>
    <w:rPr>
      <w:rFonts w:ascii="宋体" w:hAnsi="宋体" w:cs="宋体"/>
      <w:color w:val="FF0000"/>
      <w:kern w:val="0"/>
    </w:rPr>
  </w:style>
  <w:style w:type="paragraph" w:customStyle="1" w:styleId="70">
    <w:name w:val="xl82"/>
    <w:basedOn w:val="1"/>
    <w:qFormat/>
    <w:uiPriority w:val="0"/>
    <w:pPr>
      <w:widowControl/>
      <w:pBdr>
        <w:right w:val="single" w:color="auto" w:sz="8" w:space="0"/>
      </w:pBdr>
      <w:spacing w:before="100" w:beforeAutospacing="1" w:after="100" w:afterAutospacing="1" w:line="240" w:lineRule="auto"/>
    </w:pPr>
    <w:rPr>
      <w:rFonts w:ascii="宋体" w:hAnsi="宋体" w:cs="宋体"/>
      <w:color w:val="FF0000"/>
      <w:kern w:val="0"/>
    </w:rPr>
  </w:style>
  <w:style w:type="paragraph" w:customStyle="1" w:styleId="71">
    <w:name w:val="xl83"/>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pPr>
    <w:rPr>
      <w:rFonts w:ascii="宋体" w:hAnsi="宋体" w:cs="宋体"/>
      <w:color w:val="000000"/>
      <w:kern w:val="0"/>
    </w:rPr>
  </w:style>
  <w:style w:type="paragraph" w:customStyle="1" w:styleId="72">
    <w:name w:val="xl84"/>
    <w:basedOn w:val="1"/>
    <w:qFormat/>
    <w:uiPriority w:val="0"/>
    <w:pPr>
      <w:widowControl/>
      <w:pBdr>
        <w:left w:val="single" w:color="auto" w:sz="8" w:space="0"/>
        <w:right w:val="single" w:color="auto" w:sz="8" w:space="0"/>
      </w:pBdr>
      <w:spacing w:before="100" w:beforeAutospacing="1" w:after="100" w:afterAutospacing="1" w:line="240" w:lineRule="auto"/>
      <w:jc w:val="center"/>
    </w:pPr>
    <w:rPr>
      <w:rFonts w:ascii="宋体" w:hAnsi="宋体" w:cs="宋体"/>
      <w:color w:val="000000"/>
      <w:kern w:val="0"/>
    </w:rPr>
  </w:style>
  <w:style w:type="paragraph" w:customStyle="1" w:styleId="73">
    <w:name w:val="xl8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pPr>
    <w:rPr>
      <w:rFonts w:ascii="宋体" w:hAnsi="宋体" w:cs="宋体"/>
      <w:color w:val="000000"/>
      <w:kern w:val="0"/>
    </w:rPr>
  </w:style>
  <w:style w:type="paragraph" w:customStyle="1" w:styleId="74">
    <w:name w:val="xl86"/>
    <w:basedOn w:val="1"/>
    <w:qFormat/>
    <w:uiPriority w:val="0"/>
    <w:pPr>
      <w:widowControl/>
      <w:pBdr>
        <w:top w:val="single" w:color="auto" w:sz="8" w:space="0"/>
        <w:left w:val="single" w:color="auto" w:sz="8" w:space="0"/>
        <w:bottom w:val="single" w:color="auto" w:sz="8" w:space="0"/>
        <w:right w:val="single" w:color="auto" w:sz="8" w:space="0"/>
      </w:pBdr>
      <w:shd w:val="clear" w:color="000000" w:fill="FFFF00"/>
      <w:spacing w:before="100" w:beforeAutospacing="1" w:after="100" w:afterAutospacing="1" w:line="240" w:lineRule="auto"/>
      <w:jc w:val="left"/>
    </w:pPr>
    <w:rPr>
      <w:rFonts w:ascii="宋体" w:hAnsi="宋体" w:cs="宋体"/>
      <w:color w:val="000000"/>
      <w:kern w:val="0"/>
    </w:rPr>
  </w:style>
  <w:style w:type="paragraph" w:customStyle="1" w:styleId="75">
    <w:name w:val="xl8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pPr>
    <w:rPr>
      <w:rFonts w:ascii="宋体" w:hAnsi="宋体" w:cs="宋体"/>
      <w:color w:val="000000"/>
      <w:kern w:val="0"/>
    </w:rPr>
  </w:style>
  <w:style w:type="paragraph" w:customStyle="1" w:styleId="76">
    <w:name w:val="xl88"/>
    <w:basedOn w:val="1"/>
    <w:qFormat/>
    <w:uiPriority w:val="0"/>
    <w:pPr>
      <w:widowControl/>
      <w:pBdr>
        <w:bottom w:val="single" w:color="auto" w:sz="8" w:space="0"/>
        <w:right w:val="single" w:color="auto" w:sz="8" w:space="0"/>
      </w:pBdr>
      <w:shd w:val="clear" w:color="000000" w:fill="FFFF00"/>
      <w:spacing w:before="100" w:beforeAutospacing="1" w:after="100" w:afterAutospacing="1" w:line="240" w:lineRule="auto"/>
      <w:jc w:val="left"/>
    </w:pPr>
    <w:rPr>
      <w:rFonts w:ascii="宋体" w:hAnsi="宋体" w:cs="宋体"/>
      <w:color w:val="000000"/>
      <w:kern w:val="0"/>
    </w:rPr>
  </w:style>
  <w:style w:type="paragraph" w:customStyle="1" w:styleId="77">
    <w:name w:val="修订2"/>
    <w:hidden/>
    <w:unhideWhenUsed/>
    <w:qFormat/>
    <w:uiPriority w:val="99"/>
    <w:rPr>
      <w:rFonts w:ascii="Times New Roman" w:hAnsi="Times New Roman" w:eastAsia="楷体" w:cs="Times New Roman"/>
      <w:kern w:val="2"/>
      <w:sz w:val="24"/>
      <w:szCs w:val="24"/>
      <w:lang w:val="en-US" w:eastAsia="zh-CN" w:bidi="ar-SA"/>
    </w:rPr>
  </w:style>
  <w:style w:type="character" w:customStyle="1" w:styleId="78">
    <w:name w:val="font41"/>
    <w:qFormat/>
    <w:uiPriority w:val="0"/>
    <w:rPr>
      <w:rFonts w:hint="eastAsia" w:ascii="宋体" w:hAnsi="宋体" w:eastAsia="宋体" w:cs="宋体"/>
      <w:color w:val="000000"/>
      <w:sz w:val="24"/>
      <w:szCs w:val="24"/>
      <w:u w:val="none"/>
    </w:rPr>
  </w:style>
  <w:style w:type="character" w:customStyle="1" w:styleId="79">
    <w:name w:val="font31"/>
    <w:qFormat/>
    <w:uiPriority w:val="0"/>
    <w:rPr>
      <w:rFonts w:hint="default" w:ascii="Times New Roman" w:hAnsi="Times New Roman" w:cs="Times New Roman"/>
      <w:color w:val="000000"/>
      <w:sz w:val="24"/>
      <w:szCs w:val="24"/>
      <w:u w:val="none"/>
    </w:rPr>
  </w:style>
  <w:style w:type="character" w:customStyle="1" w:styleId="80">
    <w:name w:val="font51"/>
    <w:qFormat/>
    <w:uiPriority w:val="0"/>
    <w:rPr>
      <w:rFonts w:ascii="Calibri" w:hAnsi="Calibri" w:cs="Calibri"/>
      <w:color w:val="000000"/>
      <w:sz w:val="24"/>
      <w:szCs w:val="24"/>
      <w:u w:val="none"/>
    </w:rPr>
  </w:style>
  <w:style w:type="character" w:customStyle="1" w:styleId="81">
    <w:name w:val="font21"/>
    <w:qFormat/>
    <w:uiPriority w:val="0"/>
    <w:rPr>
      <w:rFonts w:hint="eastAsia" w:ascii="宋体" w:hAnsi="宋体" w:eastAsia="宋体" w:cs="宋体"/>
      <w:color w:val="000000"/>
      <w:sz w:val="24"/>
      <w:szCs w:val="24"/>
      <w:u w:val="none"/>
    </w:rPr>
  </w:style>
  <w:style w:type="character" w:customStyle="1" w:styleId="82">
    <w:name w:val="font61"/>
    <w:qFormat/>
    <w:uiPriority w:val="0"/>
    <w:rPr>
      <w:rFonts w:hint="default" w:ascii="Segoe UI Symbol" w:hAnsi="Segoe UI Symbol" w:eastAsia="Segoe UI Symbol" w:cs="Segoe UI Symbol"/>
      <w:color w:val="000000"/>
      <w:sz w:val="24"/>
      <w:szCs w:val="24"/>
      <w:u w:val="none"/>
    </w:rPr>
  </w:style>
  <w:style w:type="character" w:customStyle="1" w:styleId="83">
    <w:name w:val="font101"/>
    <w:qFormat/>
    <w:uiPriority w:val="0"/>
    <w:rPr>
      <w:rFonts w:hint="default" w:ascii="Segoe UI Symbol" w:hAnsi="Segoe UI Symbol" w:eastAsia="Segoe UI Symbol" w:cs="Segoe UI Symbol"/>
      <w:color w:val="FF0000"/>
      <w:sz w:val="24"/>
      <w:szCs w:val="24"/>
      <w:u w:val="none"/>
    </w:rPr>
  </w:style>
  <w:style w:type="character" w:customStyle="1" w:styleId="84">
    <w:name w:val="font71"/>
    <w:qFormat/>
    <w:uiPriority w:val="0"/>
    <w:rPr>
      <w:rFonts w:hint="eastAsia" w:ascii="宋体" w:hAnsi="宋体" w:eastAsia="宋体" w:cs="宋体"/>
      <w:color w:val="FF0000"/>
      <w:sz w:val="24"/>
      <w:szCs w:val="24"/>
      <w:u w:val="none"/>
    </w:rPr>
  </w:style>
  <w:style w:type="paragraph" w:customStyle="1" w:styleId="85">
    <w:name w:val="Revision"/>
    <w:hidden/>
    <w:unhideWhenUsed/>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0E00D5D5-AF6E-473A-9111-0EE2D9E6445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11387</Words>
  <Characters>11474</Characters>
  <Lines>106</Lines>
  <Paragraphs>29</Paragraphs>
  <TotalTime>35</TotalTime>
  <ScaleCrop>false</ScaleCrop>
  <LinksUpToDate>false</LinksUpToDate>
  <CharactersWithSpaces>11506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2026-05-22T08:49:00Z</dcterms:created>
  <dc:creator>admin</dc:creator>
  <cp:lastModifiedBy>LDD</cp:lastModifiedBy>
  <cp:lastPrinted>2020-06-20T09:28:00Z</cp:lastPrinted>
  <dcterms:modified xsi:type="dcterms:W3CDTF">2026-07-02T11:19:53Z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eyJoZGlkIjoiZDk1ODA3NjM5M2ZmNjlmNjY4NTMwMGI5NzEyZDE3ZDkiLCJ1c2VySWQiOiI1Mjc5MDkyNzEifQ==</vt:lpwstr>
  </property>
  <property fmtid="{D5CDD505-2E9C-101B-9397-08002B2CF9AE}" pid="6" name="ICV">
    <vt:lpwstr>5F86A303F1054F55BD88648627B98597_12</vt:lpwstr>
  </property>
</Properties>
</file>